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0907D8" w14:textId="7A43A79F" w:rsidR="00AE3E37" w:rsidRDefault="004366B8" w:rsidP="00494130">
      <w:pPr>
        <w:pStyle w:val="Heading1"/>
        <w:spacing w:before="170"/>
        <w:ind w:left="0"/>
        <w:rPr>
          <w:color w:val="337AB7"/>
        </w:rPr>
      </w:pPr>
      <w:r>
        <w:rPr>
          <w:color w:val="337AB7"/>
        </w:rPr>
        <w:t>Genetic associations in Alzheimer’s Disease: A Systematic Review and Meta-analysis</w:t>
      </w:r>
    </w:p>
    <w:p w14:paraId="10827348" w14:textId="77777777" w:rsidR="001F47FD" w:rsidRDefault="001F47FD" w:rsidP="00494130">
      <w:pPr>
        <w:pStyle w:val="Heading1"/>
        <w:spacing w:before="170"/>
        <w:ind w:left="0"/>
      </w:pPr>
    </w:p>
    <w:p w14:paraId="5D7FDBC7" w14:textId="0F044B78" w:rsidR="00AE3E37" w:rsidRDefault="001F47FD">
      <w:pPr>
        <w:pStyle w:val="BodyText"/>
        <w:rPr>
          <w:rFonts w:ascii="Arial"/>
          <w:sz w:val="20"/>
        </w:rPr>
      </w:pPr>
      <w:r>
        <w:rPr>
          <w:rFonts w:ascii="Arial"/>
        </w:rPr>
        <w:t>Hemasree GNS</w:t>
      </w:r>
      <w:r w:rsidR="00235CE5">
        <w:rPr>
          <w:rFonts w:ascii="Arial"/>
        </w:rPr>
        <w:t xml:space="preserve"> M.Pharm (PhD)</w:t>
      </w:r>
      <w:r>
        <w:rPr>
          <w:rFonts w:ascii="Arial"/>
        </w:rPr>
        <w:t>, Pharmacological Modelling and Simulation Centre, M.S. Ramaiah University of Applied Sciences, India</w:t>
      </w:r>
    </w:p>
    <w:p w14:paraId="0D1F5C8E" w14:textId="77777777" w:rsidR="00AE3E37" w:rsidRDefault="00AE3E37">
      <w:pPr>
        <w:pStyle w:val="BodyText"/>
        <w:spacing w:before="3"/>
        <w:rPr>
          <w:rFonts w:ascii="Arial"/>
          <w:sz w:val="21"/>
        </w:rPr>
      </w:pPr>
    </w:p>
    <w:p w14:paraId="072E5F59"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190C8FCF" w14:textId="3448B276" w:rsidR="00AE3E37" w:rsidRDefault="00A9710C">
      <w:pPr>
        <w:pStyle w:val="Heading3"/>
        <w:spacing w:before="147"/>
        <w:jc w:val="both"/>
        <w:rPr>
          <w:color w:val="BF5A14"/>
        </w:rPr>
      </w:pPr>
      <w:r>
        <w:rPr>
          <w:color w:val="BF5A14"/>
        </w:rPr>
        <w:t>Abstract</w:t>
      </w:r>
      <w:r w:rsidR="00404E5B">
        <w:rPr>
          <w:color w:val="BF5A14"/>
        </w:rPr>
        <w:t xml:space="preserve"> (300 word limit)</w:t>
      </w:r>
    </w:p>
    <w:p w14:paraId="63F3351A" w14:textId="77777777" w:rsidR="001F47FD" w:rsidRDefault="001F47FD">
      <w:pPr>
        <w:pStyle w:val="Heading3"/>
        <w:spacing w:before="147"/>
        <w:jc w:val="both"/>
      </w:pPr>
    </w:p>
    <w:p w14:paraId="56CD2DBA" w14:textId="77777777" w:rsidR="00EA41A8" w:rsidRDefault="004366B8" w:rsidP="004366B8">
      <w:pPr>
        <w:spacing w:line="480" w:lineRule="auto"/>
        <w:jc w:val="both"/>
        <w:rPr>
          <w:rFonts w:ascii="Times New Roman" w:hAnsi="Times New Roman" w:cs="Times New Roman"/>
          <w:sz w:val="20"/>
          <w:szCs w:val="20"/>
        </w:rPr>
      </w:pPr>
      <w:r>
        <w:rPr>
          <w:rFonts w:ascii="Times New Roman" w:hAnsi="Times New Roman" w:cs="Times New Roman"/>
          <w:sz w:val="20"/>
          <w:szCs w:val="20"/>
        </w:rPr>
        <w:t xml:space="preserve">Alzheimer’s Disease (AD), a disastrous neurodegenerative disorder associated with deposition of amyloid plaques and neurofibrillary tangles in hippocampus and cortex has been a dreadful disease since decades. Although crucial genetic factors like mutations in BACE1, PSEN1, APP etc., were explored so far there still exist a lacuna in the genetic predisposition. Enormous genetic literature available in the scientific world explored many </w:t>
      </w:r>
      <w:r w:rsidRPr="005E2293">
        <w:rPr>
          <w:rFonts w:ascii="Times New Roman" w:hAnsi="Times New Roman" w:cs="Times New Roman"/>
          <w:sz w:val="20"/>
          <w:szCs w:val="20"/>
        </w:rPr>
        <w:t>Single Nucleotide Polymorphisms (SNPs)</w:t>
      </w:r>
      <w:r>
        <w:rPr>
          <w:rFonts w:ascii="Times New Roman" w:hAnsi="Times New Roman" w:cs="Times New Roman"/>
          <w:sz w:val="20"/>
          <w:szCs w:val="20"/>
        </w:rPr>
        <w:t xml:space="preserve"> in the various genes associated with AD risk in different ethnicities. Nevertheless, inconsistencies were also observed in various studies for their association with AD in diverse ethnicities which impelled to conduct a systematic review and meta-analysis by comtemplating both published and unpublished literature irrespective of the language barrier. Initially a </w:t>
      </w:r>
      <w:r w:rsidRPr="005E2293">
        <w:rPr>
          <w:rFonts w:ascii="Times New Roman" w:hAnsi="Times New Roman" w:cs="Times New Roman"/>
          <w:sz w:val="20"/>
          <w:szCs w:val="20"/>
        </w:rPr>
        <w:t xml:space="preserve">Boolean search </w:t>
      </w:r>
      <w:r>
        <w:rPr>
          <w:rFonts w:ascii="Times New Roman" w:hAnsi="Times New Roman" w:cs="Times New Roman"/>
          <w:sz w:val="20"/>
          <w:szCs w:val="20"/>
        </w:rPr>
        <w:t>strategy was built by considering all MeSH terms with respective to AD. All the case-control studies were</w:t>
      </w:r>
      <w:r w:rsidRPr="005E2293">
        <w:rPr>
          <w:rFonts w:ascii="Times New Roman" w:hAnsi="Times New Roman" w:cs="Times New Roman"/>
          <w:sz w:val="20"/>
          <w:szCs w:val="20"/>
        </w:rPr>
        <w:t xml:space="preserve"> retrieve</w:t>
      </w:r>
      <w:r>
        <w:rPr>
          <w:rFonts w:ascii="Times New Roman" w:hAnsi="Times New Roman" w:cs="Times New Roman"/>
          <w:sz w:val="20"/>
          <w:szCs w:val="20"/>
        </w:rPr>
        <w:t>d</w:t>
      </w:r>
      <w:r w:rsidRPr="005E2293">
        <w:rPr>
          <w:rFonts w:ascii="Times New Roman" w:hAnsi="Times New Roman" w:cs="Times New Roman"/>
          <w:sz w:val="20"/>
          <w:szCs w:val="20"/>
        </w:rPr>
        <w:t xml:space="preserve"> from Pubmed,</w:t>
      </w:r>
      <w:r>
        <w:rPr>
          <w:rFonts w:ascii="Times New Roman" w:hAnsi="Times New Roman" w:cs="Times New Roman"/>
          <w:sz w:val="20"/>
          <w:szCs w:val="20"/>
        </w:rPr>
        <w:t xml:space="preserve"> </w:t>
      </w:r>
      <w:r w:rsidRPr="005E2293">
        <w:rPr>
          <w:rFonts w:ascii="Times New Roman" w:hAnsi="Times New Roman" w:cs="Times New Roman"/>
          <w:sz w:val="20"/>
          <w:szCs w:val="20"/>
        </w:rPr>
        <w:t xml:space="preserve">Cochrane, Proquest, EuropePMC, Grey literature </w:t>
      </w:r>
      <w:r>
        <w:rPr>
          <w:rFonts w:ascii="Times New Roman" w:hAnsi="Times New Roman" w:cs="Times New Roman"/>
          <w:sz w:val="20"/>
          <w:szCs w:val="20"/>
        </w:rPr>
        <w:t xml:space="preserve">(41 databases around the world) </w:t>
      </w:r>
      <w:r w:rsidRPr="005E2293">
        <w:rPr>
          <w:rFonts w:ascii="Times New Roman" w:hAnsi="Times New Roman" w:cs="Times New Roman"/>
          <w:sz w:val="20"/>
          <w:szCs w:val="20"/>
        </w:rPr>
        <w:t>and HuGE navigator</w:t>
      </w:r>
      <w:r>
        <w:rPr>
          <w:rFonts w:ascii="Times New Roman" w:hAnsi="Times New Roman" w:cs="Times New Roman"/>
          <w:sz w:val="20"/>
          <w:szCs w:val="20"/>
        </w:rPr>
        <w:t xml:space="preserve"> which yielded 2</w:t>
      </w:r>
      <w:r w:rsidRPr="005E2293">
        <w:rPr>
          <w:rFonts w:ascii="Times New Roman" w:hAnsi="Times New Roman" w:cs="Times New Roman"/>
          <w:sz w:val="20"/>
          <w:szCs w:val="20"/>
        </w:rPr>
        <w:t>,</w:t>
      </w:r>
      <w:r>
        <w:rPr>
          <w:rFonts w:ascii="Times New Roman" w:hAnsi="Times New Roman" w:cs="Times New Roman"/>
          <w:sz w:val="20"/>
          <w:szCs w:val="20"/>
        </w:rPr>
        <w:t>04</w:t>
      </w:r>
      <w:r w:rsidRPr="005E2293">
        <w:rPr>
          <w:rFonts w:ascii="Times New Roman" w:hAnsi="Times New Roman" w:cs="Times New Roman"/>
          <w:sz w:val="20"/>
          <w:szCs w:val="20"/>
        </w:rPr>
        <w:t>,</w:t>
      </w:r>
      <w:r>
        <w:rPr>
          <w:rFonts w:ascii="Times New Roman" w:hAnsi="Times New Roman" w:cs="Times New Roman"/>
          <w:sz w:val="20"/>
          <w:szCs w:val="20"/>
        </w:rPr>
        <w:t>351studies</w:t>
      </w:r>
      <w:r w:rsidRPr="005E2293">
        <w:rPr>
          <w:rFonts w:ascii="Times New Roman" w:hAnsi="Times New Roman" w:cs="Times New Roman"/>
          <w:sz w:val="20"/>
          <w:szCs w:val="20"/>
        </w:rPr>
        <w:t xml:space="preserve">. </w:t>
      </w:r>
      <w:r>
        <w:rPr>
          <w:rFonts w:ascii="Times New Roman" w:hAnsi="Times New Roman" w:cs="Times New Roman"/>
          <w:sz w:val="20"/>
          <w:szCs w:val="20"/>
        </w:rPr>
        <w:t>An in-house inclusion and exclusion criteria for screening the extracted studies were constructed.</w:t>
      </w:r>
      <w:r w:rsidRPr="005E2293">
        <w:rPr>
          <w:rFonts w:ascii="Times New Roman" w:hAnsi="Times New Roman" w:cs="Times New Roman"/>
          <w:sz w:val="20"/>
          <w:szCs w:val="20"/>
        </w:rPr>
        <w:t xml:space="preserve"> </w:t>
      </w:r>
      <w:r>
        <w:rPr>
          <w:rFonts w:ascii="Times New Roman" w:hAnsi="Times New Roman" w:cs="Times New Roman"/>
          <w:sz w:val="20"/>
          <w:szCs w:val="20"/>
        </w:rPr>
        <w:t xml:space="preserve">All full text screening through inclusion and exclusion criteria resulted in 2,777 relevant studies. Critical appraisal was done for the selected studies in two stages i.e., </w:t>
      </w:r>
      <w:r w:rsidRPr="005E2293">
        <w:rPr>
          <w:rFonts w:ascii="Times New Roman" w:hAnsi="Times New Roman" w:cs="Times New Roman"/>
          <w:sz w:val="20"/>
          <w:szCs w:val="20"/>
        </w:rPr>
        <w:t>New Castle Ottawa Scale</w:t>
      </w:r>
      <w:r>
        <w:rPr>
          <w:rFonts w:ascii="Times New Roman" w:hAnsi="Times New Roman" w:cs="Times New Roman"/>
          <w:sz w:val="20"/>
          <w:szCs w:val="20"/>
        </w:rPr>
        <w:t xml:space="preserve"> (stage-1)</w:t>
      </w:r>
      <w:r w:rsidRPr="005E2293">
        <w:rPr>
          <w:rFonts w:ascii="Times New Roman" w:hAnsi="Times New Roman" w:cs="Times New Roman"/>
          <w:sz w:val="20"/>
          <w:szCs w:val="20"/>
        </w:rPr>
        <w:t xml:space="preserve"> and Q-Genie</w:t>
      </w:r>
      <w:r>
        <w:rPr>
          <w:rFonts w:ascii="Times New Roman" w:hAnsi="Times New Roman" w:cs="Times New Roman"/>
          <w:sz w:val="20"/>
          <w:szCs w:val="20"/>
        </w:rPr>
        <w:t xml:space="preserve"> (stage-2) where 117 </w:t>
      </w:r>
    </w:p>
    <w:p w14:paraId="3924F284" w14:textId="77777777" w:rsidR="00EA41A8" w:rsidRDefault="00EA41A8" w:rsidP="004366B8">
      <w:pPr>
        <w:spacing w:line="480" w:lineRule="auto"/>
        <w:jc w:val="both"/>
        <w:rPr>
          <w:rFonts w:ascii="Times New Roman" w:hAnsi="Times New Roman" w:cs="Times New Roman"/>
          <w:sz w:val="20"/>
          <w:szCs w:val="20"/>
        </w:rPr>
      </w:pPr>
    </w:p>
    <w:p w14:paraId="7E3377F6" w14:textId="77777777" w:rsidR="00EA41A8" w:rsidRDefault="00EA41A8" w:rsidP="004366B8">
      <w:pPr>
        <w:spacing w:line="480" w:lineRule="auto"/>
        <w:jc w:val="both"/>
        <w:rPr>
          <w:rFonts w:ascii="Times New Roman" w:hAnsi="Times New Roman" w:cs="Times New Roman"/>
          <w:sz w:val="20"/>
          <w:szCs w:val="20"/>
        </w:rPr>
      </w:pPr>
    </w:p>
    <w:p w14:paraId="4090D360" w14:textId="77777777" w:rsidR="00EA41A8" w:rsidRDefault="00EA41A8" w:rsidP="004366B8">
      <w:pPr>
        <w:spacing w:line="480" w:lineRule="auto"/>
        <w:jc w:val="both"/>
        <w:rPr>
          <w:rFonts w:ascii="Times New Roman" w:hAnsi="Times New Roman" w:cs="Times New Roman"/>
          <w:sz w:val="20"/>
          <w:szCs w:val="20"/>
        </w:rPr>
      </w:pPr>
    </w:p>
    <w:p w14:paraId="67F73BC0" w14:textId="0F09EAD6" w:rsidR="00AE3E37" w:rsidRPr="004366B8" w:rsidRDefault="004366B8" w:rsidP="004366B8">
      <w:pPr>
        <w:spacing w:line="480" w:lineRule="auto"/>
        <w:jc w:val="both"/>
        <w:rPr>
          <w:rFonts w:ascii="Times New Roman" w:hAnsi="Times New Roman" w:cs="Times New Roman"/>
          <w:sz w:val="20"/>
          <w:szCs w:val="20"/>
        </w:rPr>
      </w:pPr>
      <w:r>
        <w:rPr>
          <w:rFonts w:ascii="Times New Roman" w:hAnsi="Times New Roman" w:cs="Times New Roman"/>
          <w:sz w:val="20"/>
          <w:szCs w:val="20"/>
        </w:rPr>
        <w:t>studies were finally shortlisted for data extraction and systematic review.  M</w:t>
      </w:r>
      <w:r w:rsidRPr="005E2293">
        <w:rPr>
          <w:rFonts w:ascii="Times New Roman" w:hAnsi="Times New Roman" w:cs="Times New Roman"/>
          <w:sz w:val="20"/>
          <w:szCs w:val="20"/>
        </w:rPr>
        <w:t>eta-analy</w:t>
      </w:r>
      <w:r>
        <w:rPr>
          <w:rFonts w:ascii="Times New Roman" w:hAnsi="Times New Roman" w:cs="Times New Roman"/>
          <w:sz w:val="20"/>
          <w:szCs w:val="20"/>
        </w:rPr>
        <w:t>sis</w:t>
      </w:r>
      <w:r w:rsidRPr="005E2293">
        <w:rPr>
          <w:rFonts w:ascii="Times New Roman" w:hAnsi="Times New Roman" w:cs="Times New Roman"/>
          <w:sz w:val="20"/>
          <w:szCs w:val="20"/>
        </w:rPr>
        <w:t xml:space="preserve"> </w:t>
      </w:r>
      <w:r>
        <w:rPr>
          <w:rFonts w:ascii="Times New Roman" w:hAnsi="Times New Roman" w:cs="Times New Roman"/>
          <w:sz w:val="20"/>
          <w:szCs w:val="20"/>
        </w:rPr>
        <w:t xml:space="preserve">was performed only for the </w:t>
      </w:r>
      <w:r w:rsidRPr="005E2293">
        <w:rPr>
          <w:rFonts w:ascii="Times New Roman" w:hAnsi="Times New Roman" w:cs="Times New Roman"/>
          <w:sz w:val="20"/>
          <w:szCs w:val="20"/>
        </w:rPr>
        <w:t xml:space="preserve">SNPs which were assessed in </w:t>
      </w:r>
      <w:r>
        <w:rPr>
          <w:rFonts w:ascii="Times New Roman" w:hAnsi="Times New Roman" w:cs="Times New Roman"/>
          <w:sz w:val="20"/>
          <w:szCs w:val="20"/>
        </w:rPr>
        <w:t xml:space="preserve">minimum </w:t>
      </w:r>
      <w:r w:rsidRPr="005E2293">
        <w:rPr>
          <w:rFonts w:ascii="Times New Roman" w:hAnsi="Times New Roman" w:cs="Times New Roman"/>
          <w:sz w:val="20"/>
          <w:szCs w:val="20"/>
        </w:rPr>
        <w:t xml:space="preserve">two diverse ethnicities </w:t>
      </w:r>
      <w:r>
        <w:rPr>
          <w:rFonts w:ascii="Times New Roman" w:hAnsi="Times New Roman" w:cs="Times New Roman"/>
          <w:sz w:val="20"/>
          <w:szCs w:val="20"/>
        </w:rPr>
        <w:t>by</w:t>
      </w:r>
      <w:r w:rsidRPr="005E2293">
        <w:rPr>
          <w:rFonts w:ascii="Times New Roman" w:hAnsi="Times New Roman" w:cs="Times New Roman"/>
          <w:sz w:val="20"/>
          <w:szCs w:val="20"/>
        </w:rPr>
        <w:t xml:space="preserve"> two different reports</w:t>
      </w:r>
      <w:r>
        <w:rPr>
          <w:rFonts w:ascii="Times New Roman" w:hAnsi="Times New Roman" w:cs="Times New Roman"/>
          <w:sz w:val="20"/>
          <w:szCs w:val="20"/>
        </w:rPr>
        <w:t xml:space="preserve">. </w:t>
      </w:r>
      <w:r w:rsidRPr="005E2293">
        <w:rPr>
          <w:rFonts w:ascii="Times New Roman" w:hAnsi="Times New Roman" w:cs="Times New Roman"/>
          <w:sz w:val="20"/>
          <w:szCs w:val="20"/>
        </w:rPr>
        <w:t xml:space="preserve"> </w:t>
      </w:r>
      <w:r>
        <w:rPr>
          <w:rFonts w:ascii="Times New Roman" w:hAnsi="Times New Roman" w:cs="Times New Roman"/>
          <w:sz w:val="20"/>
          <w:szCs w:val="20"/>
        </w:rPr>
        <w:t xml:space="preserve">23 SNPs corresponding to 15 genes were meta-analyzed which explored the association of 3 SNPs i.e., </w:t>
      </w:r>
      <w:r w:rsidRPr="005E2293">
        <w:rPr>
          <w:rFonts w:ascii="Times New Roman" w:hAnsi="Times New Roman" w:cs="Times New Roman"/>
          <w:sz w:val="20"/>
          <w:szCs w:val="20"/>
        </w:rPr>
        <w:t>rs1801133 (MTHFR)</w:t>
      </w:r>
      <w:r>
        <w:rPr>
          <w:rFonts w:ascii="Times New Roman" w:hAnsi="Times New Roman" w:cs="Times New Roman"/>
          <w:sz w:val="20"/>
          <w:szCs w:val="20"/>
        </w:rPr>
        <w:t xml:space="preserve">, </w:t>
      </w:r>
      <w:r w:rsidRPr="005E2293">
        <w:rPr>
          <w:rFonts w:ascii="Times New Roman" w:hAnsi="Times New Roman" w:cs="Times New Roman"/>
          <w:sz w:val="20"/>
          <w:szCs w:val="20"/>
        </w:rPr>
        <w:t>rs7561528 (BIN1)</w:t>
      </w:r>
      <w:r>
        <w:rPr>
          <w:rFonts w:ascii="Times New Roman" w:hAnsi="Times New Roman" w:cs="Times New Roman"/>
          <w:sz w:val="20"/>
          <w:szCs w:val="20"/>
        </w:rPr>
        <w:t xml:space="preserve"> and</w:t>
      </w:r>
      <w:r w:rsidRPr="005E2293">
        <w:rPr>
          <w:rFonts w:ascii="Times New Roman" w:hAnsi="Times New Roman" w:cs="Times New Roman"/>
          <w:sz w:val="20"/>
          <w:szCs w:val="20"/>
        </w:rPr>
        <w:t xml:space="preserve"> rs3865444 (CD33) with AD risk</w:t>
      </w:r>
      <w:r>
        <w:rPr>
          <w:rFonts w:ascii="Times New Roman" w:hAnsi="Times New Roman" w:cs="Times New Roman"/>
          <w:sz w:val="20"/>
          <w:szCs w:val="20"/>
        </w:rPr>
        <w:t xml:space="preserve"> and 9 SNPs i.e., </w:t>
      </w:r>
      <w:r w:rsidRPr="00897970">
        <w:rPr>
          <w:rFonts w:ascii="Times New Roman" w:hAnsi="Times New Roman" w:cs="Times New Roman"/>
          <w:sz w:val="20"/>
          <w:szCs w:val="20"/>
        </w:rPr>
        <w:t>rs242557 (MAPT), rs3851179 (PICALM), rs3764650 (ABCA7), rs2651206 (TTBK1), rs2651206 (TTBK1), rs2651206 (TTBK1), rs11136000 (CLU), rs2075650 and rs157580 (TOMM40) with negative association of AD risk</w:t>
      </w:r>
      <w:r w:rsidRPr="005E2293">
        <w:rPr>
          <w:rFonts w:ascii="Times New Roman" w:hAnsi="Times New Roman" w:cs="Times New Roman"/>
          <w:sz w:val="20"/>
          <w:szCs w:val="20"/>
        </w:rPr>
        <w:t>.</w:t>
      </w:r>
    </w:p>
    <w:p w14:paraId="12BC3375"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D3DDBAC" w14:textId="0DC7BE9C" w:rsidR="004366B8" w:rsidRPr="004366B8" w:rsidRDefault="004366B8" w:rsidP="005973B9">
      <w:pPr>
        <w:pStyle w:val="ListParagraph"/>
        <w:numPr>
          <w:ilvl w:val="0"/>
          <w:numId w:val="3"/>
        </w:numPr>
        <w:tabs>
          <w:tab w:val="left" w:pos="384"/>
        </w:tabs>
        <w:spacing w:line="216" w:lineRule="exact"/>
        <w:ind w:right="137" w:hanging="283"/>
        <w:rPr>
          <w:rFonts w:asciiTheme="minorHAnsi" w:hAnsiTheme="minorHAnsi" w:cstheme="minorHAnsi"/>
          <w:sz w:val="18"/>
          <w:szCs w:val="18"/>
        </w:rPr>
      </w:pPr>
      <w:r w:rsidRPr="004366B8">
        <w:rPr>
          <w:rFonts w:asciiTheme="minorHAnsi" w:hAnsiTheme="minorHAnsi" w:cstheme="minorHAnsi"/>
          <w:sz w:val="18"/>
          <w:szCs w:val="18"/>
        </w:rPr>
        <w:t xml:space="preserve">Hema Sree G N S, Saraswathy Ganesan Rajalekshmi, Raghunadha R Burri., Revelation of pivotal genes pertinent to Alzheimer’s pathogenesis: A methodical evaluation of 32 GEO datasets, Journal of Molecular Neuroscience </w:t>
      </w:r>
      <w:r w:rsidRPr="004366B8">
        <w:rPr>
          <w:rFonts w:asciiTheme="minorHAnsi" w:hAnsiTheme="minorHAnsi" w:cstheme="minorHAnsi"/>
          <w:b/>
          <w:bCs/>
          <w:sz w:val="18"/>
          <w:szCs w:val="18"/>
        </w:rPr>
        <w:t>(Accepted, In press).</w:t>
      </w:r>
    </w:p>
    <w:p w14:paraId="62A50897" w14:textId="2B5DEC45" w:rsidR="004366B8" w:rsidRPr="004366B8" w:rsidRDefault="004366B8" w:rsidP="005973B9">
      <w:pPr>
        <w:pStyle w:val="ListParagraph"/>
        <w:numPr>
          <w:ilvl w:val="0"/>
          <w:numId w:val="3"/>
        </w:numPr>
        <w:tabs>
          <w:tab w:val="left" w:pos="384"/>
        </w:tabs>
        <w:spacing w:line="216" w:lineRule="exact"/>
        <w:ind w:right="137" w:hanging="283"/>
        <w:rPr>
          <w:rFonts w:asciiTheme="minorHAnsi" w:hAnsiTheme="minorHAnsi" w:cstheme="minorHAnsi"/>
          <w:sz w:val="18"/>
          <w:szCs w:val="18"/>
        </w:rPr>
      </w:pPr>
      <w:r w:rsidRPr="004366B8">
        <w:rPr>
          <w:rFonts w:asciiTheme="minorHAnsi" w:hAnsiTheme="minorHAnsi" w:cstheme="minorHAnsi"/>
          <w:sz w:val="18"/>
          <w:szCs w:val="18"/>
        </w:rPr>
        <w:t>Hema Sree G N S, V Lakshmi Prasanna Marise, Kshreeraja S Satish, et.al., “Untangling huge literature to disinter genetic underpinnings of Alzheimer’s Disease: A Systematic review and Meta-analysis” Ageing Research Reviews 2021; ARR-D-21-00126R1 (In Press). Impact factor: 10.895</w:t>
      </w:r>
    </w:p>
    <w:p w14:paraId="5FF1EA9D" w14:textId="5E4EDF84" w:rsidR="004366B8" w:rsidRPr="004366B8" w:rsidRDefault="004366B8" w:rsidP="005973B9">
      <w:pPr>
        <w:pStyle w:val="ListParagraph"/>
        <w:numPr>
          <w:ilvl w:val="0"/>
          <w:numId w:val="3"/>
        </w:numPr>
        <w:tabs>
          <w:tab w:val="left" w:pos="384"/>
        </w:tabs>
        <w:spacing w:line="216" w:lineRule="exact"/>
        <w:ind w:right="138" w:hanging="283"/>
        <w:rPr>
          <w:rFonts w:asciiTheme="minorHAnsi" w:hAnsiTheme="minorHAnsi" w:cstheme="minorHAnsi"/>
          <w:sz w:val="18"/>
          <w:szCs w:val="18"/>
        </w:rPr>
      </w:pPr>
      <w:r w:rsidRPr="004366B8">
        <w:rPr>
          <w:rFonts w:asciiTheme="minorHAnsi" w:hAnsiTheme="minorHAnsi" w:cstheme="minorHAnsi"/>
          <w:sz w:val="18"/>
          <w:szCs w:val="18"/>
        </w:rPr>
        <w:t>Hema Sree GNS, Saraswathy GR, Manikanta Murahari, Mamatha Krishnamurthy. An update on Drug Repurposing: Re-written saga of the drug's fate. Biomed Pharmacother. 2018 Dec 12;</w:t>
      </w:r>
      <w:r>
        <w:rPr>
          <w:rFonts w:asciiTheme="minorHAnsi" w:hAnsiTheme="minorHAnsi" w:cstheme="minorHAnsi"/>
          <w:sz w:val="18"/>
          <w:szCs w:val="18"/>
        </w:rPr>
        <w:t xml:space="preserve"> </w:t>
      </w:r>
      <w:r w:rsidRPr="004366B8">
        <w:rPr>
          <w:rFonts w:asciiTheme="minorHAnsi" w:hAnsiTheme="minorHAnsi" w:cstheme="minorHAnsi"/>
          <w:sz w:val="18"/>
          <w:szCs w:val="18"/>
        </w:rPr>
        <w:t xml:space="preserve">110:700-716. doi: 10.1016/j.biopha.2018.11.127. Pubmed. Impact factor: 6.529 </w:t>
      </w:r>
    </w:p>
    <w:p w14:paraId="669FAE70" w14:textId="77777777" w:rsidR="004366B8" w:rsidRPr="004366B8" w:rsidRDefault="004366B8" w:rsidP="004366B8">
      <w:pPr>
        <w:pStyle w:val="ListParagraph"/>
        <w:numPr>
          <w:ilvl w:val="0"/>
          <w:numId w:val="3"/>
        </w:numPr>
        <w:tabs>
          <w:tab w:val="left" w:pos="384"/>
        </w:tabs>
        <w:spacing w:before="92" w:line="218" w:lineRule="exact"/>
        <w:ind w:hanging="283"/>
        <w:rPr>
          <w:rFonts w:asciiTheme="minorHAnsi" w:hAnsiTheme="minorHAnsi" w:cstheme="minorHAnsi"/>
          <w:sz w:val="18"/>
          <w:szCs w:val="18"/>
        </w:rPr>
      </w:pPr>
      <w:r w:rsidRPr="004366B8">
        <w:rPr>
          <w:rFonts w:asciiTheme="minorHAnsi" w:hAnsiTheme="minorHAnsi" w:cstheme="minorHAnsi"/>
          <w:sz w:val="18"/>
          <w:szCs w:val="18"/>
        </w:rPr>
        <w:t xml:space="preserve">Hema Sree G N S, Ganesan Rajalekshmi S, Murahari M, Burri RR. Reappraisal of FDA approved drugs against Alzheimer's disease based on differential gene expression and protein interaction network analysis: an in-silico approach. J Biomol Struct Dyn. 2019;1‐18. doi:10.1080/07391102.2019.1671231. Pubmed Impact factor:3.310 </w:t>
      </w:r>
    </w:p>
    <w:p w14:paraId="405F70FC" w14:textId="6F0B9B9E" w:rsidR="005973B9" w:rsidRPr="004366B8" w:rsidRDefault="004366B8" w:rsidP="004366B8">
      <w:pPr>
        <w:pStyle w:val="ListParagraph"/>
        <w:numPr>
          <w:ilvl w:val="0"/>
          <w:numId w:val="3"/>
        </w:numPr>
        <w:tabs>
          <w:tab w:val="left" w:pos="384"/>
        </w:tabs>
        <w:spacing w:before="92" w:line="218" w:lineRule="exact"/>
        <w:ind w:hanging="283"/>
        <w:rPr>
          <w:sz w:val="18"/>
        </w:rPr>
      </w:pPr>
      <w:r w:rsidRPr="004366B8">
        <w:rPr>
          <w:rFonts w:asciiTheme="minorHAnsi" w:hAnsiTheme="minorHAnsi" w:cstheme="minorHAnsi"/>
          <w:sz w:val="18"/>
          <w:szCs w:val="18"/>
        </w:rPr>
        <w:t>Hema Sree G N S, Ganesan Rajalekshmi S, Murahari M, Burri RR. Reappraisal of FDA approved drugs against Alzheimer's disease based on differential gene expression and protein interaction network analysis: an in-silico approach. J Biomol Struct Dyn. 2019;1‐18. doi:10.1080/07391102.2019.1671231. Pubmed Impact factor:3.310</w:t>
      </w:r>
    </w:p>
    <w:p w14:paraId="10A7FDED" w14:textId="78628190"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787B4EE3" w14:textId="26CBF6A6" w:rsidR="004366B8" w:rsidRDefault="004366B8">
      <w:pPr>
        <w:pStyle w:val="BodyText"/>
        <w:rPr>
          <w:rFonts w:ascii="Calibri"/>
          <w:sz w:val="20"/>
        </w:rPr>
      </w:pPr>
    </w:p>
    <w:p w14:paraId="17C51650" w14:textId="12E1B8CD"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7EF5AACA"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411310E" wp14:editId="0293D7F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D07FCA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A26B187" w14:textId="281B4A6D" w:rsidR="004366B8" w:rsidRDefault="008756E6" w:rsidP="00404E5B">
      <w:pPr>
        <w:spacing w:before="92"/>
        <w:ind w:right="4234"/>
        <w:rPr>
          <w:noProof/>
        </w:rPr>
      </w:pPr>
      <w:r>
        <w:rPr>
          <w:noProof/>
        </w:rPr>
        <w:t xml:space="preserve">              </w:t>
      </w:r>
      <w:r w:rsidR="00EA41A8">
        <w:rPr>
          <w:noProof/>
        </w:rPr>
        <w:drawing>
          <wp:inline distT="0" distB="0" distL="0" distR="0" wp14:anchorId="3A030EBD" wp14:editId="702F1803">
            <wp:extent cx="1361723" cy="1222331"/>
            <wp:effectExtent l="0" t="635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0" cstate="print">
                      <a:extLst>
                        <a:ext uri="{28A0092B-C50C-407E-A947-70E740481C1C}">
                          <a14:useLocalDpi xmlns:a14="http://schemas.microsoft.com/office/drawing/2010/main" val="0"/>
                        </a:ext>
                      </a:extLst>
                    </a:blip>
                    <a:srcRect l="28902" t="8734" r="28068" b="22594"/>
                    <a:stretch/>
                  </pic:blipFill>
                  <pic:spPr bwMode="auto">
                    <a:xfrm rot="5400000">
                      <a:off x="0" y="0"/>
                      <a:ext cx="1367420" cy="1227444"/>
                    </a:xfrm>
                    <a:prstGeom prst="rect">
                      <a:avLst/>
                    </a:prstGeom>
                    <a:ln>
                      <a:noFill/>
                    </a:ln>
                    <a:extLst>
                      <a:ext uri="{53640926-AAD7-44D8-BBD7-CCE9431645EC}">
                        <a14:shadowObscured xmlns:a14="http://schemas.microsoft.com/office/drawing/2010/main"/>
                      </a:ext>
                    </a:extLst>
                  </pic:spPr>
                </pic:pic>
              </a:graphicData>
            </a:graphic>
          </wp:inline>
        </w:drawing>
      </w:r>
    </w:p>
    <w:p w14:paraId="31A5FC46" w14:textId="31821D80" w:rsidR="00AE3E37" w:rsidRDefault="00235CE5" w:rsidP="00404E5B">
      <w:pPr>
        <w:spacing w:before="92"/>
        <w:ind w:right="4234"/>
        <w:rPr>
          <w:rFonts w:ascii="Arial"/>
        </w:rPr>
      </w:pPr>
      <w:r>
        <w:rPr>
          <w:rFonts w:ascii="Arial"/>
          <w:color w:val="BF5A14"/>
        </w:rPr>
        <w:t xml:space="preserve">    </w:t>
      </w:r>
      <w:r w:rsidR="00A9710C">
        <w:rPr>
          <w:rFonts w:ascii="Arial"/>
          <w:color w:val="BF5A14"/>
        </w:rPr>
        <w:t>Biography</w:t>
      </w:r>
      <w:r>
        <w:rPr>
          <w:rFonts w:ascii="Arial"/>
          <w:color w:val="BF5A14"/>
        </w:rPr>
        <w:t>:</w:t>
      </w:r>
    </w:p>
    <w:p w14:paraId="47CBCAB1" w14:textId="78EEB1EC" w:rsidR="00AE3E37" w:rsidRDefault="00235CE5">
      <w:pPr>
        <w:spacing w:before="41" w:line="154" w:lineRule="exact"/>
        <w:ind w:left="213" w:right="231"/>
        <w:jc w:val="both"/>
        <w:rPr>
          <w:rFonts w:ascii="Arial"/>
          <w:sz w:val="14"/>
        </w:rPr>
      </w:pPr>
      <w:r>
        <w:rPr>
          <w:rFonts w:ascii="Arial"/>
          <w:sz w:val="14"/>
        </w:rPr>
        <w:t>Hemasree GNS (M.Pharm, (PhD))</w:t>
      </w:r>
      <w:r w:rsidR="0078738A">
        <w:rPr>
          <w:rFonts w:ascii="Arial"/>
          <w:sz w:val="14"/>
        </w:rPr>
        <w:t xml:space="preserve"> </w:t>
      </w:r>
      <w:r w:rsidR="00A9710C">
        <w:rPr>
          <w:rFonts w:ascii="Arial"/>
          <w:sz w:val="14"/>
        </w:rPr>
        <w:t xml:space="preserve">has her expertise in </w:t>
      </w:r>
      <w:r>
        <w:rPr>
          <w:rFonts w:ascii="Arial"/>
          <w:sz w:val="14"/>
        </w:rPr>
        <w:t>drug repurposing, gene expression analysis and proteomics. Her research work is involved in protein modelling, virtual screening, drug design and molecular modelling. She has guided around five master</w:t>
      </w:r>
      <w:r>
        <w:rPr>
          <w:rFonts w:ascii="Arial"/>
          <w:sz w:val="14"/>
        </w:rPr>
        <w:t>’</w:t>
      </w:r>
      <w:r>
        <w:rPr>
          <w:rFonts w:ascii="Arial"/>
          <w:sz w:val="14"/>
        </w:rPr>
        <w:t xml:space="preserve">s thesis in drug repurposing in neurodegenerative disorders. She has 12 international publications, one magazine article, two international book chapter publications. She presented four research works in international conferences and received one travel grant for the conference </w:t>
      </w:r>
      <w:r>
        <w:rPr>
          <w:rFonts w:ascii="Arial"/>
          <w:sz w:val="14"/>
        </w:rPr>
        <w:t>“</w:t>
      </w:r>
      <w:r>
        <w:rPr>
          <w:rFonts w:ascii="Arial"/>
          <w:sz w:val="14"/>
        </w:rPr>
        <w:t>Alzheimer</w:t>
      </w:r>
      <w:r>
        <w:rPr>
          <w:rFonts w:ascii="Arial"/>
          <w:sz w:val="14"/>
        </w:rPr>
        <w:t>’</w:t>
      </w:r>
      <w:r>
        <w:rPr>
          <w:rFonts w:ascii="Arial"/>
          <w:sz w:val="14"/>
        </w:rPr>
        <w:t>s Association International Conference, 2021</w:t>
      </w:r>
      <w:r>
        <w:rPr>
          <w:rFonts w:ascii="Arial"/>
          <w:sz w:val="14"/>
        </w:rPr>
        <w:t>”</w:t>
      </w:r>
      <w:r>
        <w:rPr>
          <w:rFonts w:ascii="Arial"/>
          <w:sz w:val="14"/>
        </w:rPr>
        <w:t>.</w:t>
      </w:r>
    </w:p>
    <w:p w14:paraId="702BCA28" w14:textId="4A135B99" w:rsidR="00AE3E37" w:rsidRDefault="00A9710C" w:rsidP="00235CE5">
      <w:pPr>
        <w:spacing w:before="62"/>
        <w:ind w:left="2880" w:right="4235" w:firstLine="720"/>
        <w:rPr>
          <w:rFonts w:ascii="Arial"/>
          <w:sz w:val="14"/>
        </w:rPr>
      </w:pPr>
      <w:r>
        <w:rPr>
          <w:rFonts w:ascii="Arial"/>
          <w:sz w:val="14"/>
        </w:rPr>
        <w:t xml:space="preserve">Email: </w:t>
      </w:r>
      <w:hyperlink r:id="rId11" w:history="1">
        <w:r w:rsidR="00235CE5" w:rsidRPr="00BB043E">
          <w:rPr>
            <w:rStyle w:val="Hyperlink"/>
            <w:rFonts w:ascii="Arial"/>
            <w:sz w:val="14"/>
          </w:rPr>
          <w:t>nagasai.hemasree615@gmail.com</w:t>
        </w:r>
      </w:hyperlink>
      <w:r w:rsidR="00235CE5">
        <w:rPr>
          <w:rFonts w:ascii="Arial"/>
          <w:sz w:val="14"/>
        </w:rPr>
        <w:t xml:space="preserve"> </w:t>
      </w:r>
    </w:p>
    <w:p w14:paraId="36F36787" w14:textId="67B2826D" w:rsidR="00AE3E37" w:rsidRPr="00B21A57" w:rsidRDefault="00292ED9" w:rsidP="00235CE5">
      <w:pPr>
        <w:pStyle w:val="BodyText"/>
        <w:spacing w:before="2"/>
        <w:rPr>
          <w:rFonts w:ascii="Minion Pro"/>
          <w:b/>
          <w:sz w:val="20"/>
        </w:rPr>
      </w:pPr>
      <w:r>
        <w:rPr>
          <w:noProof/>
          <w:lang w:val="en-IN" w:eastAsia="en-IN"/>
        </w:rPr>
        <mc:AlternateContent>
          <mc:Choice Requires="wps">
            <w:drawing>
              <wp:anchor distT="0" distB="0" distL="0" distR="0" simplePos="0" relativeHeight="1072" behindDoc="0" locked="0" layoutInCell="1" allowOverlap="1" wp14:anchorId="4008CB65" wp14:editId="2C6FBFC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B93B7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32D765A9"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C63C00A"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529ACB" w14:textId="77777777" w:rsidR="00942856" w:rsidRDefault="00942856">
      <w:r>
        <w:separator/>
      </w:r>
    </w:p>
  </w:endnote>
  <w:endnote w:type="continuationSeparator" w:id="0">
    <w:p w14:paraId="442D7817" w14:textId="77777777" w:rsidR="00942856" w:rsidRDefault="00942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84C1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70D594E" wp14:editId="2627AE1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41906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64E79F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0D594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3841906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64E79F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B4EC7BA" wp14:editId="785111D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7A921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043566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4EC7B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537A921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043566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9258AAA" wp14:editId="104592D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7761C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FEFEB2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258AAA"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757761C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FEFEB2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7DA963" w14:textId="77777777" w:rsidR="00942856" w:rsidRDefault="00942856">
      <w:r>
        <w:separator/>
      </w:r>
    </w:p>
  </w:footnote>
  <w:footnote w:type="continuationSeparator" w:id="0">
    <w:p w14:paraId="6AD4D75E" w14:textId="77777777" w:rsidR="00942856" w:rsidRDefault="009428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E3B9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76552544" wp14:editId="3B839C2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1E4DD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552544"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581E4DD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4309BD10" wp14:editId="67A6DA3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C53EA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C01F98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09BD10"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0AC53EA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C01F98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C0D24"/>
    <w:rsid w:val="000E2911"/>
    <w:rsid w:val="001263DF"/>
    <w:rsid w:val="001E763C"/>
    <w:rsid w:val="001F47FD"/>
    <w:rsid w:val="00235CE5"/>
    <w:rsid w:val="00292ED9"/>
    <w:rsid w:val="00314AFB"/>
    <w:rsid w:val="003B76D9"/>
    <w:rsid w:val="00404E5B"/>
    <w:rsid w:val="00414F7B"/>
    <w:rsid w:val="004355DC"/>
    <w:rsid w:val="004366B8"/>
    <w:rsid w:val="004749B4"/>
    <w:rsid w:val="00494130"/>
    <w:rsid w:val="004F3523"/>
    <w:rsid w:val="005973B9"/>
    <w:rsid w:val="005B3A56"/>
    <w:rsid w:val="006060CE"/>
    <w:rsid w:val="0063497F"/>
    <w:rsid w:val="0078738A"/>
    <w:rsid w:val="00873DF0"/>
    <w:rsid w:val="008756E6"/>
    <w:rsid w:val="00942856"/>
    <w:rsid w:val="009B2D44"/>
    <w:rsid w:val="00A07E82"/>
    <w:rsid w:val="00A9710C"/>
    <w:rsid w:val="00AE3E37"/>
    <w:rsid w:val="00B21A57"/>
    <w:rsid w:val="00C33602"/>
    <w:rsid w:val="00CD6F55"/>
    <w:rsid w:val="00D62425"/>
    <w:rsid w:val="00DE3104"/>
    <w:rsid w:val="00EA41A8"/>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D16E5F"/>
  <w15:docId w15:val="{0FBCEA17-335F-46FD-9F0A-14136B5A0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235C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gasai.hemasree615@g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2C5CD0-549A-4071-8C0B-7C095102F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666</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HEMASREE PASUMARTI</cp:lastModifiedBy>
  <cp:revision>3</cp:revision>
  <dcterms:created xsi:type="dcterms:W3CDTF">2021-09-22T05:50:00Z</dcterms:created>
  <dcterms:modified xsi:type="dcterms:W3CDTF">2021-09-23T03:57:00Z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