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F90" w:rsidRPr="00906F90" w:rsidRDefault="00906F90" w:rsidP="00906F90">
      <w:pPr>
        <w:jc w:val="both"/>
        <w:rPr>
          <w:rFonts w:ascii="Minion Pro" w:hAnsi="Minion Pro"/>
          <w:b/>
          <w:color w:val="0070C0"/>
          <w:sz w:val="36"/>
          <w:szCs w:val="36"/>
        </w:rPr>
      </w:pPr>
      <w:r w:rsidRPr="00906F90">
        <w:rPr>
          <w:rFonts w:ascii="Minion Pro" w:hAnsi="Minion Pro"/>
          <w:b/>
          <w:color w:val="0070C0"/>
          <w:sz w:val="36"/>
          <w:szCs w:val="36"/>
        </w:rPr>
        <w:t>Neurocognitive testing (NCT) results following low dose hemi / whole brain irradiation in genetically altered Alzheimer’s Dementia (AD) animal models.</w:t>
      </w:r>
    </w:p>
    <w:p w:rsidR="00906F90" w:rsidRDefault="00906F90" w:rsidP="00906F90">
      <w:pPr>
        <w:rPr>
          <w:rFonts w:ascii="Arial" w:hAnsi="Arial" w:cs="Arial"/>
          <w:sz w:val="18"/>
        </w:rPr>
      </w:pPr>
      <w:r w:rsidRPr="00906F90">
        <w:rPr>
          <w:rFonts w:ascii="Arial" w:hAnsi="Arial" w:cs="Arial"/>
          <w:sz w:val="18"/>
        </w:rPr>
        <w:t>Alvaro</w:t>
      </w:r>
      <w:r>
        <w:rPr>
          <w:rFonts w:ascii="Arial" w:hAnsi="Arial" w:cs="Arial"/>
          <w:sz w:val="18"/>
        </w:rPr>
        <w:t xml:space="preserve"> A.</w:t>
      </w:r>
      <w:r w:rsidRPr="00906F90">
        <w:rPr>
          <w:rFonts w:ascii="Arial" w:hAnsi="Arial" w:cs="Arial"/>
          <w:sz w:val="18"/>
        </w:rPr>
        <w:t xml:space="preserve"> Martinez MD (1) George </w:t>
      </w:r>
      <w:r>
        <w:rPr>
          <w:rFonts w:ascii="Arial" w:hAnsi="Arial" w:cs="Arial"/>
          <w:sz w:val="18"/>
        </w:rPr>
        <w:t xml:space="preserve">D. </w:t>
      </w:r>
      <w:r w:rsidRPr="00906F90">
        <w:rPr>
          <w:rFonts w:ascii="Arial" w:hAnsi="Arial" w:cs="Arial"/>
          <w:sz w:val="18"/>
        </w:rPr>
        <w:t>Wilson PhD</w:t>
      </w:r>
      <w:r>
        <w:rPr>
          <w:rFonts w:ascii="Arial" w:hAnsi="Arial" w:cs="Arial"/>
          <w:sz w:val="18"/>
        </w:rPr>
        <w:t xml:space="preserve"> </w:t>
      </w:r>
      <w:r w:rsidRPr="00906F90">
        <w:rPr>
          <w:rFonts w:ascii="Arial" w:hAnsi="Arial" w:cs="Arial"/>
          <w:sz w:val="18"/>
        </w:rPr>
        <w:t xml:space="preserve">(1) Thomas </w:t>
      </w:r>
      <w:proofErr w:type="spellStart"/>
      <w:r w:rsidRPr="00906F90">
        <w:rPr>
          <w:rFonts w:ascii="Arial" w:hAnsi="Arial" w:cs="Arial"/>
          <w:sz w:val="18"/>
        </w:rPr>
        <w:t>Zilli</w:t>
      </w:r>
      <w:proofErr w:type="spellEnd"/>
      <w:r w:rsidRPr="00906F90">
        <w:rPr>
          <w:rFonts w:ascii="Arial" w:hAnsi="Arial" w:cs="Arial"/>
          <w:sz w:val="18"/>
        </w:rPr>
        <w:t xml:space="preserve"> MD</w:t>
      </w:r>
      <w:r>
        <w:rPr>
          <w:rFonts w:ascii="Arial" w:hAnsi="Arial" w:cs="Arial"/>
          <w:sz w:val="18"/>
        </w:rPr>
        <w:t xml:space="preserve"> </w:t>
      </w:r>
      <w:r w:rsidRPr="00906F90">
        <w:rPr>
          <w:rFonts w:ascii="Arial" w:hAnsi="Arial" w:cs="Arial"/>
          <w:sz w:val="18"/>
        </w:rPr>
        <w:t>(1) Scott E Bowen PhD</w:t>
      </w:r>
      <w:r>
        <w:rPr>
          <w:rFonts w:ascii="Arial" w:hAnsi="Arial" w:cs="Arial"/>
          <w:sz w:val="18"/>
        </w:rPr>
        <w:t xml:space="preserve"> </w:t>
      </w:r>
      <w:r w:rsidRPr="00906F90">
        <w:rPr>
          <w:rFonts w:ascii="Arial" w:hAnsi="Arial" w:cs="Arial"/>
          <w:sz w:val="18"/>
        </w:rPr>
        <w:t xml:space="preserve">(2) Dan </w:t>
      </w:r>
      <w:r>
        <w:rPr>
          <w:rFonts w:ascii="Arial" w:hAnsi="Arial" w:cs="Arial"/>
          <w:sz w:val="18"/>
        </w:rPr>
        <w:t xml:space="preserve">B. </w:t>
      </w:r>
      <w:r w:rsidRPr="00906F90">
        <w:rPr>
          <w:rFonts w:ascii="Arial" w:hAnsi="Arial" w:cs="Arial"/>
          <w:sz w:val="18"/>
        </w:rPr>
        <w:t>Michael MD</w:t>
      </w:r>
      <w:r w:rsidR="00743972">
        <w:rPr>
          <w:rFonts w:ascii="Arial" w:hAnsi="Arial" w:cs="Arial"/>
          <w:sz w:val="18"/>
        </w:rPr>
        <w:t xml:space="preserve"> (1),</w:t>
      </w:r>
      <w:r w:rsidR="000173CE">
        <w:rPr>
          <w:rFonts w:ascii="Arial" w:hAnsi="Arial" w:cs="Arial"/>
          <w:sz w:val="18"/>
        </w:rPr>
        <w:t xml:space="preserve">Sean Callen </w:t>
      </w:r>
      <w:proofErr w:type="spellStart"/>
      <w:r w:rsidR="000173CE">
        <w:rPr>
          <w:rFonts w:ascii="Arial" w:hAnsi="Arial" w:cs="Arial"/>
          <w:sz w:val="18"/>
        </w:rPr>
        <w:t>Ph.D</w:t>
      </w:r>
      <w:proofErr w:type="spellEnd"/>
      <w:r w:rsidR="000173CE">
        <w:rPr>
          <w:rFonts w:ascii="Arial" w:hAnsi="Arial" w:cs="Arial"/>
          <w:sz w:val="18"/>
        </w:rPr>
        <w:t xml:space="preserve"> (2),</w:t>
      </w:r>
      <w:r w:rsidR="00743972">
        <w:rPr>
          <w:rFonts w:ascii="Arial" w:hAnsi="Arial" w:cs="Arial"/>
          <w:sz w:val="18"/>
        </w:rPr>
        <w:t xml:space="preserve"> Michael E. Maddens MD (1),</w:t>
      </w:r>
      <w:r w:rsidRPr="00906F90">
        <w:rPr>
          <w:rFonts w:ascii="Arial" w:hAnsi="Arial" w:cs="Arial"/>
          <w:sz w:val="18"/>
        </w:rPr>
        <w:t xml:space="preserve"> Brian Marples PhD</w:t>
      </w:r>
      <w:r>
        <w:rPr>
          <w:rFonts w:ascii="Arial" w:hAnsi="Arial" w:cs="Arial"/>
          <w:sz w:val="18"/>
        </w:rPr>
        <w:t xml:space="preserve"> </w:t>
      </w:r>
      <w:r w:rsidRPr="00906F90">
        <w:rPr>
          <w:rFonts w:ascii="Arial" w:hAnsi="Arial" w:cs="Arial"/>
          <w:sz w:val="18"/>
        </w:rPr>
        <w:t xml:space="preserve">(3) Valentina </w:t>
      </w:r>
      <w:proofErr w:type="spellStart"/>
      <w:r w:rsidRPr="00906F90">
        <w:rPr>
          <w:rFonts w:ascii="Arial" w:hAnsi="Arial" w:cs="Arial"/>
          <w:sz w:val="18"/>
        </w:rPr>
        <w:t>Garibotto</w:t>
      </w:r>
      <w:proofErr w:type="spellEnd"/>
      <w:r w:rsidRPr="00906F90">
        <w:rPr>
          <w:rFonts w:ascii="Arial" w:hAnsi="Arial" w:cs="Arial"/>
          <w:sz w:val="18"/>
        </w:rPr>
        <w:t xml:space="preserve"> MD</w:t>
      </w:r>
      <w:r>
        <w:rPr>
          <w:rFonts w:ascii="Arial" w:hAnsi="Arial" w:cs="Arial"/>
          <w:sz w:val="18"/>
        </w:rPr>
        <w:t xml:space="preserve"> </w:t>
      </w:r>
      <w:r w:rsidRPr="00906F90">
        <w:rPr>
          <w:rFonts w:ascii="Arial" w:hAnsi="Arial" w:cs="Arial"/>
          <w:sz w:val="18"/>
        </w:rPr>
        <w:t xml:space="preserve">(1), Benjamin </w:t>
      </w:r>
      <w:proofErr w:type="spellStart"/>
      <w:r w:rsidRPr="00906F90">
        <w:rPr>
          <w:rFonts w:ascii="Arial" w:hAnsi="Arial" w:cs="Arial"/>
          <w:sz w:val="18"/>
        </w:rPr>
        <w:t>Tournier</w:t>
      </w:r>
      <w:proofErr w:type="spellEnd"/>
      <w:r w:rsidRPr="00906F90">
        <w:rPr>
          <w:rFonts w:ascii="Arial" w:hAnsi="Arial" w:cs="Arial"/>
          <w:sz w:val="18"/>
        </w:rPr>
        <w:t xml:space="preserve"> PhD</w:t>
      </w:r>
      <w:r>
        <w:rPr>
          <w:rFonts w:ascii="Arial" w:hAnsi="Arial" w:cs="Arial"/>
          <w:sz w:val="18"/>
        </w:rPr>
        <w:t xml:space="preserve"> </w:t>
      </w:r>
      <w:r w:rsidRPr="00906F90">
        <w:rPr>
          <w:rFonts w:ascii="Arial" w:hAnsi="Arial" w:cs="Arial"/>
          <w:sz w:val="18"/>
        </w:rPr>
        <w:t xml:space="preserve">(1), </w:t>
      </w:r>
      <w:r w:rsidR="000173CE">
        <w:rPr>
          <w:rFonts w:ascii="Arial" w:hAnsi="Arial" w:cs="Arial"/>
          <w:sz w:val="18"/>
        </w:rPr>
        <w:t xml:space="preserve">Kelly </w:t>
      </w:r>
      <w:proofErr w:type="spellStart"/>
      <w:r w:rsidR="000173CE">
        <w:rPr>
          <w:rFonts w:ascii="Arial" w:hAnsi="Arial" w:cs="Arial"/>
          <w:sz w:val="18"/>
        </w:rPr>
        <w:t>Ceyzeriat</w:t>
      </w:r>
      <w:proofErr w:type="spellEnd"/>
      <w:r w:rsidR="000173CE">
        <w:rPr>
          <w:rFonts w:ascii="Arial" w:hAnsi="Arial" w:cs="Arial"/>
          <w:sz w:val="18"/>
        </w:rPr>
        <w:t xml:space="preserve"> </w:t>
      </w:r>
      <w:proofErr w:type="spellStart"/>
      <w:r w:rsidR="000173CE">
        <w:rPr>
          <w:rFonts w:ascii="Arial" w:hAnsi="Arial" w:cs="Arial"/>
          <w:sz w:val="18"/>
        </w:rPr>
        <w:t>Ph.D</w:t>
      </w:r>
      <w:proofErr w:type="spellEnd"/>
      <w:r w:rsidR="000173CE">
        <w:rPr>
          <w:rFonts w:ascii="Arial" w:hAnsi="Arial" w:cs="Arial"/>
          <w:sz w:val="18"/>
        </w:rPr>
        <w:t xml:space="preserve"> (1)</w:t>
      </w:r>
      <w:r w:rsidRPr="00906F90">
        <w:rPr>
          <w:rFonts w:ascii="Arial" w:hAnsi="Arial" w:cs="Arial"/>
          <w:sz w:val="18"/>
        </w:rPr>
        <w:t xml:space="preserve"> Giovanni </w:t>
      </w:r>
      <w:proofErr w:type="spellStart"/>
      <w:r w:rsidRPr="00906F90">
        <w:rPr>
          <w:rFonts w:ascii="Arial" w:hAnsi="Arial" w:cs="Arial"/>
          <w:sz w:val="18"/>
        </w:rPr>
        <w:t>Frisoni</w:t>
      </w:r>
      <w:proofErr w:type="spellEnd"/>
      <w:r w:rsidRPr="00906F90">
        <w:rPr>
          <w:rFonts w:ascii="Arial" w:hAnsi="Arial" w:cs="Arial"/>
          <w:sz w:val="18"/>
        </w:rPr>
        <w:t xml:space="preserve"> MD</w:t>
      </w:r>
      <w:r>
        <w:rPr>
          <w:rFonts w:ascii="Arial" w:hAnsi="Arial" w:cs="Arial"/>
          <w:sz w:val="18"/>
        </w:rPr>
        <w:t xml:space="preserve"> </w:t>
      </w:r>
      <w:r w:rsidRPr="00906F90">
        <w:rPr>
          <w:rFonts w:ascii="Arial" w:hAnsi="Arial" w:cs="Arial"/>
          <w:sz w:val="18"/>
        </w:rPr>
        <w:t>(1)</w:t>
      </w:r>
      <w:r w:rsidR="000173CE">
        <w:rPr>
          <w:rFonts w:ascii="Arial" w:hAnsi="Arial" w:cs="Arial"/>
          <w:sz w:val="18"/>
        </w:rPr>
        <w:t xml:space="preserve"> and </w:t>
      </w:r>
      <w:r>
        <w:rPr>
          <w:rFonts w:ascii="Arial" w:hAnsi="Arial" w:cs="Arial"/>
          <w:sz w:val="18"/>
        </w:rPr>
        <w:t xml:space="preserve"> </w:t>
      </w:r>
      <w:r w:rsidRPr="00906F90">
        <w:rPr>
          <w:rFonts w:ascii="Arial" w:hAnsi="Arial" w:cs="Arial"/>
          <w:sz w:val="18"/>
        </w:rPr>
        <w:t xml:space="preserve"> James Fontanesi MD</w:t>
      </w:r>
      <w:r w:rsidR="000173CE">
        <w:rPr>
          <w:rFonts w:ascii="Arial" w:hAnsi="Arial" w:cs="Arial"/>
          <w:sz w:val="18"/>
        </w:rPr>
        <w:t xml:space="preserve"> </w:t>
      </w:r>
      <w:r w:rsidRPr="00906F90">
        <w:rPr>
          <w:rFonts w:ascii="Arial" w:hAnsi="Arial" w:cs="Arial"/>
          <w:sz w:val="18"/>
        </w:rPr>
        <w:t>(1)</w:t>
      </w:r>
    </w:p>
    <w:p w:rsidR="000173CE" w:rsidRPr="00906F90" w:rsidRDefault="000173CE" w:rsidP="00906F90">
      <w:pPr>
        <w:rPr>
          <w:rFonts w:ascii="Arial" w:hAnsi="Arial" w:cs="Arial"/>
          <w:sz w:val="18"/>
        </w:rPr>
      </w:pPr>
    </w:p>
    <w:p w:rsidR="00906F90" w:rsidRPr="00906F90" w:rsidRDefault="00743972" w:rsidP="00906F90">
      <w:pPr>
        <w:rPr>
          <w:rFonts w:ascii="Arial" w:hAnsi="Arial" w:cs="Arial"/>
          <w:sz w:val="18"/>
        </w:rPr>
      </w:pPr>
      <w:r>
        <w:rPr>
          <w:rFonts w:ascii="Arial" w:hAnsi="Arial" w:cs="Arial"/>
          <w:sz w:val="18"/>
        </w:rPr>
        <w:t>The ROAD (</w:t>
      </w:r>
      <w:r w:rsidR="00906F90" w:rsidRPr="00906F90">
        <w:rPr>
          <w:rFonts w:ascii="Arial" w:hAnsi="Arial" w:cs="Arial"/>
          <w:sz w:val="18"/>
        </w:rPr>
        <w:t xml:space="preserve">Radiation Oncology in Alzheimer’s </w:t>
      </w:r>
      <w:proofErr w:type="gramStart"/>
      <w:r w:rsidR="00906F90" w:rsidRPr="00906F90">
        <w:rPr>
          <w:rFonts w:ascii="Arial" w:hAnsi="Arial" w:cs="Arial"/>
          <w:sz w:val="18"/>
        </w:rPr>
        <w:t>Dementia )</w:t>
      </w:r>
      <w:proofErr w:type="gramEnd"/>
      <w:r w:rsidR="00906F90" w:rsidRPr="00906F90">
        <w:rPr>
          <w:rFonts w:ascii="Arial" w:hAnsi="Arial" w:cs="Arial"/>
          <w:sz w:val="18"/>
        </w:rPr>
        <w:t xml:space="preserve"> Consortium (1)</w:t>
      </w:r>
      <w:r w:rsidR="00906F90">
        <w:rPr>
          <w:rFonts w:ascii="Arial" w:hAnsi="Arial" w:cs="Arial"/>
          <w:sz w:val="18"/>
        </w:rPr>
        <w:t xml:space="preserve">,  </w:t>
      </w:r>
      <w:r w:rsidR="00906F90" w:rsidRPr="00906F90">
        <w:rPr>
          <w:rFonts w:ascii="Arial" w:hAnsi="Arial" w:cs="Arial"/>
          <w:sz w:val="18"/>
        </w:rPr>
        <w:t>Wayne S</w:t>
      </w:r>
      <w:r w:rsidR="00906F90">
        <w:rPr>
          <w:rFonts w:ascii="Arial" w:hAnsi="Arial" w:cs="Arial"/>
          <w:sz w:val="18"/>
        </w:rPr>
        <w:t>t</w:t>
      </w:r>
      <w:r w:rsidR="00906F90" w:rsidRPr="00906F90">
        <w:rPr>
          <w:rFonts w:ascii="Arial" w:hAnsi="Arial" w:cs="Arial"/>
          <w:sz w:val="18"/>
        </w:rPr>
        <w:t>ate University School of Medicine (2)</w:t>
      </w:r>
    </w:p>
    <w:p w:rsidR="00906F90" w:rsidRPr="00906F90" w:rsidRDefault="00906F90" w:rsidP="00906F90">
      <w:pPr>
        <w:rPr>
          <w:rFonts w:ascii="Arial" w:hAnsi="Arial" w:cs="Arial"/>
          <w:sz w:val="18"/>
        </w:rPr>
      </w:pPr>
      <w:r w:rsidRPr="00906F90">
        <w:rPr>
          <w:rFonts w:ascii="Arial" w:hAnsi="Arial" w:cs="Arial"/>
          <w:sz w:val="18"/>
        </w:rPr>
        <w:t>University of Miami School of Medicine</w:t>
      </w:r>
      <w:r>
        <w:rPr>
          <w:rFonts w:ascii="Arial" w:hAnsi="Arial" w:cs="Arial"/>
          <w:sz w:val="18"/>
        </w:rPr>
        <w:t xml:space="preserve"> (3).</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06F90" w:rsidRPr="00162FBA" w:rsidRDefault="00906F90" w:rsidP="00162FBA">
      <w:pPr>
        <w:ind w:left="90"/>
        <w:rPr>
          <w:color w:val="000000" w:themeColor="text1"/>
          <w:sz w:val="18"/>
          <w:szCs w:val="18"/>
        </w:rPr>
      </w:pPr>
      <w:r w:rsidRPr="00162FBA">
        <w:rPr>
          <w:b/>
          <w:color w:val="000000" w:themeColor="text1"/>
          <w:sz w:val="18"/>
          <w:szCs w:val="18"/>
        </w:rPr>
        <w:t>Statement of the Problem:</w:t>
      </w:r>
      <w:r w:rsidRPr="00162FBA">
        <w:rPr>
          <w:color w:val="000000" w:themeColor="text1"/>
          <w:sz w:val="18"/>
          <w:szCs w:val="18"/>
        </w:rPr>
        <w:t xml:space="preserve"> The use of low dose radiation h</w:t>
      </w:r>
      <w:r w:rsidR="0040423C">
        <w:rPr>
          <w:color w:val="000000" w:themeColor="text1"/>
          <w:sz w:val="18"/>
          <w:szCs w:val="18"/>
        </w:rPr>
        <w:t>as been shown to be effective in</w:t>
      </w:r>
      <w:bookmarkStart w:id="0" w:name="_GoBack"/>
      <w:bookmarkEnd w:id="0"/>
      <w:r w:rsidRPr="00162FBA">
        <w:rPr>
          <w:color w:val="000000" w:themeColor="text1"/>
          <w:sz w:val="18"/>
          <w:szCs w:val="18"/>
        </w:rPr>
        <w:t xml:space="preserve"> the resolution of non CNS amyloidosis</w:t>
      </w:r>
      <w:r w:rsidR="00162FBA">
        <w:rPr>
          <w:color w:val="000000" w:themeColor="text1"/>
          <w:sz w:val="18"/>
          <w:szCs w:val="18"/>
        </w:rPr>
        <w:t>.</w:t>
      </w:r>
      <w:r w:rsidRPr="00162FBA">
        <w:rPr>
          <w:color w:val="000000" w:themeColor="text1"/>
          <w:sz w:val="18"/>
          <w:szCs w:val="18"/>
        </w:rPr>
        <w:t xml:space="preserve"> Our consortium began looking at various hemi brain and whole brain low dose radiation doses to determine its impact on amyloid and neurocognitive function (NCT). </w:t>
      </w:r>
      <w:r w:rsidRPr="00162FBA">
        <w:rPr>
          <w:b/>
          <w:color w:val="000000" w:themeColor="text1"/>
          <w:sz w:val="18"/>
          <w:szCs w:val="18"/>
        </w:rPr>
        <w:t>Methodology &amp; Theoretical Orientation:</w:t>
      </w:r>
      <w:r w:rsidRPr="00162FBA">
        <w:rPr>
          <w:color w:val="000000" w:themeColor="text1"/>
          <w:sz w:val="18"/>
          <w:szCs w:val="18"/>
        </w:rPr>
        <w:t xml:space="preserve">  </w:t>
      </w:r>
    </w:p>
    <w:p w:rsidR="00162FBA" w:rsidRPr="00162FBA" w:rsidRDefault="00906F90" w:rsidP="00162FBA">
      <w:pPr>
        <w:ind w:left="90"/>
        <w:rPr>
          <w:sz w:val="18"/>
          <w:szCs w:val="18"/>
        </w:rPr>
      </w:pPr>
      <w:r w:rsidRPr="00162FBA">
        <w:rPr>
          <w:color w:val="000000" w:themeColor="text1"/>
          <w:sz w:val="18"/>
          <w:szCs w:val="18"/>
        </w:rPr>
        <w:t xml:space="preserve">The Detroit </w:t>
      </w:r>
      <w:r w:rsidR="00162FBA">
        <w:rPr>
          <w:color w:val="000000" w:themeColor="text1"/>
          <w:sz w:val="18"/>
          <w:szCs w:val="18"/>
        </w:rPr>
        <w:t xml:space="preserve">group </w:t>
      </w:r>
      <w:r w:rsidRPr="00162FBA">
        <w:rPr>
          <w:color w:val="000000" w:themeColor="text1"/>
          <w:sz w:val="18"/>
          <w:szCs w:val="18"/>
        </w:rPr>
        <w:t xml:space="preserve">used the APPswePSEN1dE9 murine model, and tested NCT using the Morris Water Maze. The animals </w:t>
      </w:r>
      <w:r w:rsidR="00162FBA">
        <w:rPr>
          <w:color w:val="000000" w:themeColor="text1"/>
          <w:sz w:val="18"/>
          <w:szCs w:val="18"/>
        </w:rPr>
        <w:t xml:space="preserve">received </w:t>
      </w:r>
      <w:r w:rsidRPr="00162FBA">
        <w:rPr>
          <w:color w:val="000000" w:themeColor="text1"/>
          <w:sz w:val="18"/>
          <w:szCs w:val="18"/>
        </w:rPr>
        <w:t xml:space="preserve">whole brain radiation </w:t>
      </w:r>
      <w:r w:rsidR="00162FBA">
        <w:rPr>
          <w:color w:val="000000" w:themeColor="text1"/>
          <w:sz w:val="18"/>
          <w:szCs w:val="18"/>
        </w:rPr>
        <w:t xml:space="preserve">of </w:t>
      </w:r>
      <w:r w:rsidR="00162FBA" w:rsidRPr="00162FBA">
        <w:rPr>
          <w:color w:val="000000" w:themeColor="text1"/>
          <w:sz w:val="18"/>
          <w:szCs w:val="18"/>
        </w:rPr>
        <w:t xml:space="preserve">5 x 2 Gy </w:t>
      </w:r>
      <w:r w:rsidRPr="00162FBA">
        <w:rPr>
          <w:color w:val="000000" w:themeColor="text1"/>
          <w:sz w:val="18"/>
          <w:szCs w:val="18"/>
        </w:rPr>
        <w:t>at age 64 week</w:t>
      </w:r>
      <w:r w:rsidR="00162FBA">
        <w:rPr>
          <w:color w:val="000000" w:themeColor="text1"/>
          <w:sz w:val="18"/>
          <w:szCs w:val="18"/>
        </w:rPr>
        <w:t xml:space="preserve"> and were tested</w:t>
      </w:r>
      <w:r w:rsidRPr="00162FBA">
        <w:rPr>
          <w:color w:val="000000" w:themeColor="text1"/>
          <w:sz w:val="18"/>
          <w:szCs w:val="18"/>
        </w:rPr>
        <w:t xml:space="preserve"> 5 days before treatment </w:t>
      </w:r>
      <w:r w:rsidR="00162FBA">
        <w:rPr>
          <w:color w:val="000000" w:themeColor="text1"/>
          <w:sz w:val="18"/>
          <w:szCs w:val="18"/>
        </w:rPr>
        <w:t>and</w:t>
      </w:r>
      <w:r w:rsidRPr="00162FBA">
        <w:rPr>
          <w:color w:val="000000" w:themeColor="text1"/>
          <w:sz w:val="18"/>
          <w:szCs w:val="18"/>
        </w:rPr>
        <w:t xml:space="preserve"> 8 weeks after treatment. </w:t>
      </w:r>
      <w:r w:rsidRPr="00162FBA">
        <w:rPr>
          <w:rFonts w:cs="Arial"/>
          <w:color w:val="000000" w:themeColor="text1"/>
          <w:sz w:val="18"/>
          <w:szCs w:val="18"/>
        </w:rPr>
        <w:t>Spatial learning and memory was assessed</w:t>
      </w:r>
      <w:r w:rsidRPr="00162FBA">
        <w:rPr>
          <w:color w:val="000000" w:themeColor="text1"/>
          <w:sz w:val="18"/>
          <w:szCs w:val="18"/>
        </w:rPr>
        <w:t xml:space="preserve">. The </w:t>
      </w:r>
      <w:r w:rsidR="00162FBA" w:rsidRPr="00162FBA">
        <w:rPr>
          <w:color w:val="000000" w:themeColor="text1"/>
          <w:sz w:val="18"/>
          <w:szCs w:val="18"/>
        </w:rPr>
        <w:t xml:space="preserve">Geneva </w:t>
      </w:r>
      <w:r w:rsidRPr="00162FBA">
        <w:rPr>
          <w:color w:val="000000" w:themeColor="text1"/>
          <w:sz w:val="18"/>
          <w:szCs w:val="18"/>
        </w:rPr>
        <w:t xml:space="preserve">group used the TgF344-AD rat model. Female animals were treated with </w:t>
      </w:r>
      <w:r w:rsidR="00162FBA" w:rsidRPr="00162FBA">
        <w:rPr>
          <w:color w:val="000000" w:themeColor="text1"/>
          <w:sz w:val="18"/>
          <w:szCs w:val="18"/>
        </w:rPr>
        <w:t xml:space="preserve">5 x 2 Gy </w:t>
      </w:r>
      <w:r w:rsidRPr="00162FBA">
        <w:rPr>
          <w:color w:val="000000" w:themeColor="text1"/>
          <w:sz w:val="18"/>
          <w:szCs w:val="18"/>
        </w:rPr>
        <w:t xml:space="preserve">hemi brain irradiation at age 15 months and tested 3 weeks and 3 months after treatment. Open field (locomotor activity) and y maze (working memory) testing were </w:t>
      </w:r>
      <w:r w:rsidR="00162FBA">
        <w:rPr>
          <w:color w:val="000000" w:themeColor="text1"/>
          <w:sz w:val="18"/>
          <w:szCs w:val="18"/>
        </w:rPr>
        <w:t>assessed</w:t>
      </w:r>
      <w:r w:rsidRPr="00162FBA">
        <w:rPr>
          <w:color w:val="000000" w:themeColor="text1"/>
          <w:sz w:val="18"/>
          <w:szCs w:val="18"/>
        </w:rPr>
        <w:t xml:space="preserve">. </w:t>
      </w:r>
      <w:r w:rsidR="00162FBA">
        <w:rPr>
          <w:color w:val="000000" w:themeColor="text1"/>
          <w:sz w:val="18"/>
          <w:szCs w:val="18"/>
        </w:rPr>
        <w:t>C</w:t>
      </w:r>
      <w:r w:rsidR="00162FBA" w:rsidRPr="00162FBA">
        <w:rPr>
          <w:color w:val="000000" w:themeColor="text1"/>
          <w:sz w:val="18"/>
          <w:szCs w:val="18"/>
        </w:rPr>
        <w:t xml:space="preserve">ontrol animals </w:t>
      </w:r>
      <w:r w:rsidR="00162FBA">
        <w:rPr>
          <w:color w:val="000000" w:themeColor="text1"/>
          <w:sz w:val="18"/>
          <w:szCs w:val="18"/>
        </w:rPr>
        <w:t>were</w:t>
      </w:r>
      <w:r w:rsidRPr="00162FBA">
        <w:rPr>
          <w:color w:val="000000" w:themeColor="text1"/>
          <w:sz w:val="18"/>
          <w:szCs w:val="18"/>
        </w:rPr>
        <w:t xml:space="preserve"> also tested. </w:t>
      </w:r>
      <w:r w:rsidR="00C75037">
        <w:rPr>
          <w:color w:val="000000" w:themeColor="text1"/>
          <w:sz w:val="18"/>
          <w:szCs w:val="18"/>
        </w:rPr>
        <w:t>An</w:t>
      </w:r>
      <w:r w:rsidRPr="00162FBA">
        <w:rPr>
          <w:color w:val="000000" w:themeColor="text1"/>
          <w:sz w:val="18"/>
          <w:szCs w:val="18"/>
        </w:rPr>
        <w:t xml:space="preserve">imals were sacrificed </w:t>
      </w:r>
      <w:r w:rsidR="00C75037">
        <w:rPr>
          <w:color w:val="000000" w:themeColor="text1"/>
          <w:sz w:val="18"/>
          <w:szCs w:val="18"/>
        </w:rPr>
        <w:t xml:space="preserve">after testing </w:t>
      </w:r>
      <w:r w:rsidRPr="00162FBA">
        <w:rPr>
          <w:color w:val="000000" w:themeColor="text1"/>
          <w:sz w:val="18"/>
          <w:szCs w:val="18"/>
        </w:rPr>
        <w:t>to determine amyloid-beta plaque changes.</w:t>
      </w:r>
      <w:r w:rsidRPr="00162FBA">
        <w:rPr>
          <w:rFonts w:cs="Arial"/>
          <w:color w:val="000000" w:themeColor="text1"/>
          <w:sz w:val="18"/>
          <w:szCs w:val="18"/>
        </w:rPr>
        <w:t xml:space="preserve"> </w:t>
      </w:r>
      <w:r w:rsidRPr="00162FBA">
        <w:rPr>
          <w:b/>
          <w:color w:val="000000" w:themeColor="text1"/>
          <w:sz w:val="18"/>
          <w:szCs w:val="18"/>
        </w:rPr>
        <w:t>Findings:</w:t>
      </w:r>
      <w:r w:rsidRPr="00162FBA">
        <w:rPr>
          <w:color w:val="000000" w:themeColor="text1"/>
          <w:sz w:val="18"/>
          <w:szCs w:val="18"/>
        </w:rPr>
        <w:t xml:space="preserve"> Both models showed a statistically significant improvement in cognitive abilities in the treated animals. Data from Detroit I shown in Fig.1 The </w:t>
      </w:r>
      <w:r w:rsidR="00162FBA" w:rsidRPr="00162FBA">
        <w:rPr>
          <w:rFonts w:cs="Arial"/>
          <w:sz w:val="18"/>
          <w:szCs w:val="18"/>
        </w:rPr>
        <w:t>treated group displayed significantly reduced latencies (31.0±17.6 seconds) compared to the untreated group (53.9±14.9 seconds) across trials on day 5 (</w:t>
      </w:r>
      <w:r w:rsidR="00162FBA" w:rsidRPr="00162FBA">
        <w:rPr>
          <w:rFonts w:cs="Arial"/>
          <w:iCs/>
          <w:sz w:val="18"/>
          <w:szCs w:val="18"/>
        </w:rPr>
        <w:t>p</w:t>
      </w:r>
      <w:r w:rsidR="00162FBA" w:rsidRPr="00162FBA">
        <w:rPr>
          <w:rFonts w:cs="Arial"/>
          <w:sz w:val="18"/>
          <w:szCs w:val="18"/>
        </w:rPr>
        <w:t xml:space="preserve"> = 0.03). These differences were</w:t>
      </w:r>
      <w:r w:rsidRPr="00162FBA">
        <w:rPr>
          <w:color w:val="000000" w:themeColor="text1"/>
          <w:sz w:val="18"/>
          <w:szCs w:val="18"/>
        </w:rPr>
        <w:t xml:space="preserve"> not due to baseline ambulatory /swimming velocities. The Geneva animals showed increased spatial memory index and decreased hyperactivity at 3 </w:t>
      </w:r>
      <w:proofErr w:type="spellStart"/>
      <w:r w:rsidRPr="00162FBA">
        <w:rPr>
          <w:color w:val="000000" w:themeColor="text1"/>
          <w:sz w:val="18"/>
          <w:szCs w:val="18"/>
        </w:rPr>
        <w:t>months.</w:t>
      </w:r>
      <w:r w:rsidR="000173CE">
        <w:rPr>
          <w:color w:val="000000" w:themeColor="text1"/>
          <w:sz w:val="18"/>
          <w:szCs w:val="18"/>
        </w:rPr>
        <w:t>The</w:t>
      </w:r>
      <w:proofErr w:type="spellEnd"/>
      <w:r w:rsidR="000173CE">
        <w:rPr>
          <w:color w:val="000000" w:themeColor="text1"/>
          <w:sz w:val="18"/>
          <w:szCs w:val="18"/>
        </w:rPr>
        <w:t xml:space="preserve"> test for younger males showed a clear decrease in TSPO in bilateral hippocampi.</w:t>
      </w:r>
      <w:r w:rsidRPr="00162FBA">
        <w:rPr>
          <w:color w:val="000000" w:themeColor="text1"/>
          <w:sz w:val="18"/>
          <w:szCs w:val="18"/>
        </w:rPr>
        <w:t xml:space="preserve"> At sacrifice the Detroit group had noted reduction in amyloid plaque density. The Geneva group could not document </w:t>
      </w:r>
      <w:r w:rsidR="00C75037">
        <w:rPr>
          <w:color w:val="000000" w:themeColor="text1"/>
          <w:sz w:val="18"/>
          <w:szCs w:val="18"/>
        </w:rPr>
        <w:t>a reduction in</w:t>
      </w:r>
      <w:r w:rsidRPr="00162FBA">
        <w:rPr>
          <w:color w:val="000000" w:themeColor="text1"/>
          <w:sz w:val="18"/>
          <w:szCs w:val="18"/>
        </w:rPr>
        <w:t xml:space="preserve"> amyloid density but th</w:t>
      </w:r>
      <w:r w:rsidR="00162FBA" w:rsidRPr="00162FBA">
        <w:rPr>
          <w:color w:val="000000" w:themeColor="text1"/>
          <w:sz w:val="18"/>
          <w:szCs w:val="18"/>
        </w:rPr>
        <w:t xml:space="preserve">is may be due to a </w:t>
      </w:r>
      <w:r w:rsidRPr="00162FBA">
        <w:rPr>
          <w:color w:val="000000" w:themeColor="text1"/>
          <w:sz w:val="18"/>
          <w:szCs w:val="18"/>
        </w:rPr>
        <w:t xml:space="preserve">much higher plaque density </w:t>
      </w:r>
      <w:r w:rsidR="00162FBA" w:rsidRPr="00162FBA">
        <w:rPr>
          <w:color w:val="000000" w:themeColor="text1"/>
          <w:sz w:val="18"/>
          <w:szCs w:val="18"/>
        </w:rPr>
        <w:t xml:space="preserve">in this model. </w:t>
      </w:r>
      <w:r w:rsidRPr="00162FBA">
        <w:rPr>
          <w:b/>
          <w:color w:val="000000" w:themeColor="text1"/>
          <w:sz w:val="18"/>
          <w:szCs w:val="18"/>
        </w:rPr>
        <w:t xml:space="preserve">Conclusion &amp; Significance: </w:t>
      </w:r>
      <w:r w:rsidR="00162FBA" w:rsidRPr="00162FBA">
        <w:rPr>
          <w:sz w:val="18"/>
          <w:szCs w:val="18"/>
        </w:rPr>
        <w:t>Based on these results we continue to evaluate the use of different daily / total dose schedules and the use of targeted therapies to determine the role they may play in the treatment of AD</w:t>
      </w:r>
      <w:r w:rsidR="00C75037">
        <w:rPr>
          <w:sz w:val="18"/>
          <w:szCs w:val="18"/>
        </w:rPr>
        <w:t>.</w:t>
      </w:r>
    </w:p>
    <w:p w:rsidR="00AE3E37" w:rsidRDefault="00A9710C">
      <w:pPr>
        <w:pStyle w:val="Heading3"/>
        <w:spacing w:before="74"/>
      </w:pPr>
      <w:r>
        <w:rPr>
          <w:b w:val="0"/>
        </w:rPr>
        <w:br w:type="column"/>
      </w:r>
      <w:r>
        <w:rPr>
          <w:color w:val="BF5A14"/>
        </w:rPr>
        <w:lastRenderedPageBreak/>
        <w:t>Image</w:t>
      </w:r>
    </w:p>
    <w:p w:rsidR="00AE3E37" w:rsidRDefault="00906F90" w:rsidP="00906F90">
      <w:pPr>
        <w:pStyle w:val="BodyText"/>
        <w:spacing w:before="2"/>
        <w:jc w:val="center"/>
        <w:rPr>
          <w:rFonts w:ascii="Arial"/>
          <w:b/>
          <w:sz w:val="16"/>
        </w:rPr>
      </w:pPr>
      <w:r>
        <w:rPr>
          <w:rFonts w:ascii="Arial"/>
          <w:b/>
          <w:noProof/>
          <w:sz w:val="16"/>
        </w:rPr>
        <w:drawing>
          <wp:inline distT="0" distB="0" distL="0" distR="0">
            <wp:extent cx="3189427" cy="2067393"/>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varo fig.tif"/>
                    <pic:cNvPicPr/>
                  </pic:nvPicPr>
                  <pic:blipFill rotWithShape="1">
                    <a:blip r:embed="rId9">
                      <a:extLst>
                        <a:ext uri="{28A0092B-C50C-407E-A947-70E740481C1C}">
                          <a14:useLocalDpi xmlns:a14="http://schemas.microsoft.com/office/drawing/2010/main" val="0"/>
                        </a:ext>
                      </a:extLst>
                    </a:blip>
                    <a:srcRect l="12471" t="14164" r="32795" b="25178"/>
                    <a:stretch/>
                  </pic:blipFill>
                  <pic:spPr bwMode="auto">
                    <a:xfrm>
                      <a:off x="0" y="0"/>
                      <a:ext cx="3187408" cy="2066085"/>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C75037" w:rsidRPr="000C2837" w:rsidRDefault="00C75037" w:rsidP="00C75037">
      <w:pPr>
        <w:pStyle w:val="List"/>
        <w:numPr>
          <w:ilvl w:val="0"/>
          <w:numId w:val="3"/>
        </w:numPr>
        <w:tabs>
          <w:tab w:val="num" w:pos="540"/>
          <w:tab w:val="num" w:pos="630"/>
        </w:tabs>
        <w:spacing w:line="240" w:lineRule="auto"/>
        <w:rPr>
          <w:rFonts w:ascii="Calibri" w:eastAsia="MS Mincho" w:hAnsi="Calibri"/>
          <w:sz w:val="18"/>
          <w:szCs w:val="24"/>
          <w:lang w:eastAsia="ja-JP"/>
        </w:rPr>
      </w:pPr>
      <w:r w:rsidRPr="000C2837">
        <w:rPr>
          <w:rFonts w:ascii="Calibri" w:hAnsi="Calibri"/>
          <w:sz w:val="18"/>
          <w:szCs w:val="24"/>
        </w:rPr>
        <w:t>Marples, B., McGee, M., Callan, B.S., Bowen, S.E. Thibodeau, B.J.</w:t>
      </w:r>
      <w:proofErr w:type="gramStart"/>
      <w:r w:rsidRPr="000C2837">
        <w:rPr>
          <w:rFonts w:ascii="Calibri" w:hAnsi="Calibri"/>
          <w:sz w:val="18"/>
          <w:szCs w:val="24"/>
        </w:rPr>
        <w:t>,  Michael</w:t>
      </w:r>
      <w:proofErr w:type="gramEnd"/>
      <w:r w:rsidRPr="000C2837">
        <w:rPr>
          <w:rFonts w:ascii="Calibri" w:hAnsi="Calibri"/>
          <w:sz w:val="18"/>
          <w:szCs w:val="24"/>
        </w:rPr>
        <w:t xml:space="preserve">, D.B., Maddens, ME., Wilson, G.D., Fontanesi, J and Martinez, A.A. </w:t>
      </w:r>
      <w:r>
        <w:rPr>
          <w:rFonts w:ascii="Calibri" w:hAnsi="Calibri"/>
          <w:sz w:val="18"/>
          <w:szCs w:val="24"/>
        </w:rPr>
        <w:t xml:space="preserve">(2015). </w:t>
      </w:r>
      <w:r w:rsidRPr="000C2837">
        <w:rPr>
          <w:rFonts w:ascii="Calibri" w:hAnsi="Calibri"/>
          <w:sz w:val="18"/>
          <w:szCs w:val="24"/>
        </w:rPr>
        <w:t>Low dose cranial irradiation significantly reduces beta amyloid plaques in the brain and improves cognition in a murine model of Alzheimer’s Disease (AD</w:t>
      </w:r>
      <w:proofErr w:type="gramStart"/>
      <w:r w:rsidRPr="000C2837">
        <w:rPr>
          <w:rFonts w:ascii="Calibri" w:hAnsi="Calibri"/>
          <w:sz w:val="18"/>
          <w:szCs w:val="24"/>
        </w:rPr>
        <w:t>)</w:t>
      </w:r>
      <w:r w:rsidRPr="000C2837">
        <w:rPr>
          <w:rFonts w:ascii="Calibri" w:eastAsia="MS Mincho" w:hAnsi="Calibri"/>
          <w:sz w:val="18"/>
          <w:szCs w:val="24"/>
          <w:lang w:eastAsia="ja-JP"/>
        </w:rPr>
        <w:t xml:space="preserve"> .</w:t>
      </w:r>
      <w:proofErr w:type="gramEnd"/>
      <w:r w:rsidRPr="000C2837">
        <w:rPr>
          <w:rFonts w:ascii="Calibri" w:eastAsia="MS Mincho" w:hAnsi="Calibri"/>
          <w:sz w:val="18"/>
          <w:szCs w:val="24"/>
          <w:lang w:eastAsia="ja-JP"/>
        </w:rPr>
        <w:t xml:space="preserve"> </w:t>
      </w:r>
      <w:proofErr w:type="spellStart"/>
      <w:r w:rsidRPr="000C2837">
        <w:rPr>
          <w:rStyle w:val="jrnl"/>
          <w:rFonts w:ascii="Calibri" w:hAnsi="Calibri"/>
          <w:sz w:val="18"/>
          <w:szCs w:val="24"/>
        </w:rPr>
        <w:t>Radiother</w:t>
      </w:r>
      <w:proofErr w:type="spellEnd"/>
      <w:r w:rsidRPr="000C2837">
        <w:rPr>
          <w:rStyle w:val="jrnl"/>
          <w:rFonts w:ascii="Calibri" w:hAnsi="Calibri"/>
          <w:sz w:val="18"/>
          <w:szCs w:val="24"/>
        </w:rPr>
        <w:t xml:space="preserve"> </w:t>
      </w:r>
      <w:proofErr w:type="spellStart"/>
      <w:r w:rsidRPr="000C2837">
        <w:rPr>
          <w:rStyle w:val="jrnl"/>
          <w:rFonts w:ascii="Calibri" w:hAnsi="Calibri"/>
          <w:sz w:val="18"/>
          <w:szCs w:val="24"/>
        </w:rPr>
        <w:t>Oncol</w:t>
      </w:r>
      <w:proofErr w:type="spellEnd"/>
      <w:r w:rsidRPr="000C2837">
        <w:rPr>
          <w:rFonts w:ascii="Calibri" w:hAnsi="Calibri"/>
          <w:sz w:val="18"/>
          <w:szCs w:val="24"/>
        </w:rPr>
        <w:t>. 118: 43-51</w:t>
      </w:r>
      <w:r>
        <w:rPr>
          <w:rFonts w:ascii="Calibri" w:hAnsi="Calibri"/>
          <w:sz w:val="18"/>
          <w:szCs w:val="24"/>
        </w:rPr>
        <w:t>.</w:t>
      </w:r>
      <w:r w:rsidRPr="000C2837">
        <w:rPr>
          <w:rFonts w:ascii="Calibri" w:hAnsi="Calibri"/>
          <w:sz w:val="18"/>
          <w:szCs w:val="24"/>
        </w:rPr>
        <w:t xml:space="preserve"> </w:t>
      </w:r>
    </w:p>
    <w:p w:rsidR="00C75037" w:rsidRPr="00E14192" w:rsidRDefault="00C75037" w:rsidP="00C75037">
      <w:pPr>
        <w:pStyle w:val="List"/>
        <w:numPr>
          <w:ilvl w:val="0"/>
          <w:numId w:val="3"/>
        </w:numPr>
        <w:tabs>
          <w:tab w:val="left" w:pos="384"/>
          <w:tab w:val="left" w:pos="540"/>
          <w:tab w:val="num" w:pos="630"/>
        </w:tabs>
        <w:spacing w:line="240" w:lineRule="auto"/>
        <w:ind w:right="117"/>
      </w:pPr>
      <w:r w:rsidRPr="000C2837">
        <w:rPr>
          <w:rFonts w:ascii="Calibri" w:hAnsi="Calibri" w:cs="Calibri"/>
          <w:sz w:val="18"/>
          <w:szCs w:val="18"/>
        </w:rPr>
        <w:t xml:space="preserve">Wilson. G.D. and Marples, B. </w:t>
      </w:r>
      <w:r w:rsidRPr="000C2837">
        <w:rPr>
          <w:rFonts w:ascii="Calibri" w:hAnsi="Calibri"/>
          <w:sz w:val="18"/>
          <w:szCs w:val="18"/>
        </w:rPr>
        <w:t xml:space="preserve"> (2016). </w:t>
      </w:r>
      <w:proofErr w:type="gramStart"/>
      <w:r w:rsidRPr="000C2837">
        <w:rPr>
          <w:rFonts w:ascii="Calibri" w:hAnsi="Calibri"/>
          <w:sz w:val="18"/>
          <w:szCs w:val="18"/>
        </w:rPr>
        <w:t>A</w:t>
      </w:r>
      <w:proofErr w:type="gramEnd"/>
      <w:r w:rsidRPr="000C2837">
        <w:rPr>
          <w:rFonts w:ascii="Calibri" w:hAnsi="Calibri"/>
          <w:sz w:val="18"/>
          <w:szCs w:val="18"/>
        </w:rPr>
        <w:t xml:space="preserve"> new use for an old treatment: Radiation therapy and Alzheimer’s disease. Radiation Research  </w:t>
      </w:r>
      <w:r>
        <w:rPr>
          <w:rFonts w:ascii="Calibri" w:hAnsi="Calibri"/>
          <w:sz w:val="18"/>
          <w:szCs w:val="18"/>
        </w:rPr>
        <w:t>185:443-448</w:t>
      </w:r>
    </w:p>
    <w:p w:rsidR="00C75037" w:rsidRPr="00E14192" w:rsidRDefault="00C75037" w:rsidP="00C75037">
      <w:pPr>
        <w:pStyle w:val="List"/>
        <w:numPr>
          <w:ilvl w:val="0"/>
          <w:numId w:val="3"/>
        </w:numPr>
        <w:tabs>
          <w:tab w:val="left" w:pos="384"/>
          <w:tab w:val="left" w:pos="540"/>
          <w:tab w:val="num" w:pos="630"/>
        </w:tabs>
        <w:spacing w:line="240" w:lineRule="auto"/>
        <w:ind w:right="117"/>
        <w:rPr>
          <w:rFonts w:asciiTheme="minorHAnsi" w:hAnsiTheme="minorHAnsi" w:cs="Arial"/>
        </w:rPr>
      </w:pPr>
      <w:proofErr w:type="spellStart"/>
      <w:r w:rsidRPr="00E14192">
        <w:rPr>
          <w:rFonts w:asciiTheme="minorHAnsi" w:hAnsiTheme="minorHAnsi" w:cs="Arial"/>
          <w:sz w:val="18"/>
        </w:rPr>
        <w:t>Kurrus</w:t>
      </w:r>
      <w:proofErr w:type="spellEnd"/>
      <w:r w:rsidRPr="00E14192">
        <w:rPr>
          <w:rFonts w:asciiTheme="minorHAnsi" w:hAnsiTheme="minorHAnsi" w:cs="Arial"/>
          <w:sz w:val="18"/>
        </w:rPr>
        <w:t xml:space="preserve"> JA, Hayes JK, </w:t>
      </w:r>
      <w:proofErr w:type="spellStart"/>
      <w:r w:rsidRPr="00E14192">
        <w:rPr>
          <w:rFonts w:asciiTheme="minorHAnsi" w:hAnsiTheme="minorHAnsi" w:cs="Arial"/>
          <w:sz w:val="18"/>
        </w:rPr>
        <w:t>Hoidal</w:t>
      </w:r>
      <w:proofErr w:type="spellEnd"/>
      <w:r w:rsidRPr="00E14192">
        <w:rPr>
          <w:rFonts w:asciiTheme="minorHAnsi" w:hAnsiTheme="minorHAnsi" w:cs="Arial"/>
          <w:sz w:val="18"/>
        </w:rPr>
        <w:t xml:space="preserve"> JR, Menendez MM, </w:t>
      </w:r>
      <w:proofErr w:type="spellStart"/>
      <w:r w:rsidRPr="00E14192">
        <w:rPr>
          <w:rFonts w:asciiTheme="minorHAnsi" w:hAnsiTheme="minorHAnsi" w:cs="Arial"/>
          <w:sz w:val="18"/>
        </w:rPr>
        <w:t>Elstad</w:t>
      </w:r>
      <w:proofErr w:type="spellEnd"/>
      <w:r w:rsidRPr="00E14192">
        <w:rPr>
          <w:rFonts w:asciiTheme="minorHAnsi" w:hAnsiTheme="minorHAnsi" w:cs="Arial"/>
          <w:sz w:val="18"/>
        </w:rPr>
        <w:t xml:space="preserve"> MR. </w:t>
      </w:r>
      <w:r>
        <w:rPr>
          <w:rFonts w:asciiTheme="minorHAnsi" w:hAnsiTheme="minorHAnsi" w:cs="Arial"/>
          <w:sz w:val="18"/>
        </w:rPr>
        <w:t xml:space="preserve">(1998). </w:t>
      </w:r>
      <w:r w:rsidRPr="00E14192">
        <w:rPr>
          <w:rFonts w:asciiTheme="minorHAnsi" w:hAnsiTheme="minorHAnsi" w:cs="Arial"/>
          <w:sz w:val="18"/>
        </w:rPr>
        <w:t>Radiation therapy for tracheobro</w:t>
      </w:r>
      <w:r>
        <w:rPr>
          <w:rFonts w:asciiTheme="minorHAnsi" w:hAnsiTheme="minorHAnsi" w:cs="Arial"/>
          <w:sz w:val="18"/>
        </w:rPr>
        <w:t>nchial amyloidosis. Chest. 114</w:t>
      </w:r>
      <w:r w:rsidRPr="00E14192">
        <w:rPr>
          <w:rFonts w:asciiTheme="minorHAnsi" w:hAnsiTheme="minorHAnsi" w:cs="Arial"/>
          <w:sz w:val="18"/>
        </w:rPr>
        <w:t>:1489-</w:t>
      </w:r>
      <w:r>
        <w:rPr>
          <w:rFonts w:asciiTheme="minorHAnsi" w:hAnsiTheme="minorHAnsi" w:cs="Arial"/>
          <w:sz w:val="18"/>
        </w:rPr>
        <w:t>14</w:t>
      </w:r>
      <w:r w:rsidRPr="00E14192">
        <w:rPr>
          <w:rFonts w:asciiTheme="minorHAnsi" w:hAnsiTheme="minorHAnsi" w:cs="Arial"/>
          <w:sz w:val="18"/>
        </w:rPr>
        <w:t xml:space="preserve">92. </w:t>
      </w:r>
    </w:p>
    <w:p w:rsidR="00C75037" w:rsidRPr="00E14192" w:rsidRDefault="00C75037" w:rsidP="00C75037">
      <w:pPr>
        <w:pStyle w:val="List"/>
        <w:numPr>
          <w:ilvl w:val="0"/>
          <w:numId w:val="3"/>
        </w:numPr>
        <w:tabs>
          <w:tab w:val="left" w:pos="384"/>
          <w:tab w:val="left" w:pos="540"/>
          <w:tab w:val="num" w:pos="630"/>
        </w:tabs>
        <w:spacing w:line="240" w:lineRule="auto"/>
        <w:ind w:right="117"/>
        <w:rPr>
          <w:rFonts w:asciiTheme="minorHAnsi" w:hAnsiTheme="minorHAnsi" w:cs="Arial"/>
        </w:rPr>
      </w:pPr>
      <w:proofErr w:type="spellStart"/>
      <w:r w:rsidRPr="00E14192">
        <w:rPr>
          <w:rFonts w:asciiTheme="minorHAnsi" w:hAnsiTheme="minorHAnsi"/>
          <w:sz w:val="18"/>
        </w:rPr>
        <w:t>Poovaneswaran</w:t>
      </w:r>
      <w:proofErr w:type="spellEnd"/>
      <w:r w:rsidRPr="00E14192">
        <w:rPr>
          <w:rFonts w:asciiTheme="minorHAnsi" w:hAnsiTheme="minorHAnsi"/>
          <w:sz w:val="18"/>
        </w:rPr>
        <w:t xml:space="preserve"> S, </w:t>
      </w:r>
      <w:proofErr w:type="spellStart"/>
      <w:r w:rsidRPr="00E14192">
        <w:rPr>
          <w:rFonts w:asciiTheme="minorHAnsi" w:hAnsiTheme="minorHAnsi"/>
          <w:sz w:val="18"/>
        </w:rPr>
        <w:t>Razak</w:t>
      </w:r>
      <w:proofErr w:type="spellEnd"/>
      <w:r w:rsidRPr="00E14192">
        <w:rPr>
          <w:rFonts w:asciiTheme="minorHAnsi" w:hAnsiTheme="minorHAnsi"/>
          <w:sz w:val="18"/>
        </w:rPr>
        <w:t xml:space="preserve"> AR, </w:t>
      </w:r>
      <w:proofErr w:type="spellStart"/>
      <w:r w:rsidRPr="00E14192">
        <w:rPr>
          <w:rFonts w:asciiTheme="minorHAnsi" w:hAnsiTheme="minorHAnsi"/>
          <w:sz w:val="18"/>
        </w:rPr>
        <w:t>Lockman</w:t>
      </w:r>
      <w:proofErr w:type="spellEnd"/>
      <w:r w:rsidRPr="00E14192">
        <w:rPr>
          <w:rFonts w:asciiTheme="minorHAnsi" w:hAnsiTheme="minorHAnsi"/>
          <w:sz w:val="18"/>
        </w:rPr>
        <w:t xml:space="preserve"> H, Bone M, Pollard K, </w:t>
      </w:r>
      <w:proofErr w:type="spellStart"/>
      <w:r w:rsidRPr="00E14192">
        <w:rPr>
          <w:rFonts w:asciiTheme="minorHAnsi" w:hAnsiTheme="minorHAnsi"/>
          <w:sz w:val="18"/>
        </w:rPr>
        <w:t>Mazdai</w:t>
      </w:r>
      <w:proofErr w:type="spellEnd"/>
      <w:r w:rsidRPr="00E14192">
        <w:rPr>
          <w:rFonts w:asciiTheme="minorHAnsi" w:hAnsiTheme="minorHAnsi"/>
          <w:sz w:val="18"/>
        </w:rPr>
        <w:t xml:space="preserve"> G. </w:t>
      </w:r>
      <w:r>
        <w:rPr>
          <w:rFonts w:asciiTheme="minorHAnsi" w:hAnsiTheme="minorHAnsi"/>
          <w:sz w:val="18"/>
        </w:rPr>
        <w:t>(2008).</w:t>
      </w:r>
      <w:r w:rsidRPr="00E14192">
        <w:rPr>
          <w:rFonts w:asciiTheme="minorHAnsi" w:hAnsiTheme="minorHAnsi"/>
          <w:sz w:val="18"/>
        </w:rPr>
        <w:t xml:space="preserve">Tracheobronchial amyloidosis: utilization of radiotherapy as a treatment modality. Medscape </w:t>
      </w:r>
      <w:r>
        <w:rPr>
          <w:rFonts w:asciiTheme="minorHAnsi" w:hAnsiTheme="minorHAnsi"/>
          <w:sz w:val="18"/>
        </w:rPr>
        <w:t>J</w:t>
      </w:r>
      <w:r w:rsidRPr="00E14192">
        <w:rPr>
          <w:rFonts w:asciiTheme="minorHAnsi" w:hAnsiTheme="minorHAnsi"/>
          <w:sz w:val="18"/>
        </w:rPr>
        <w:t xml:space="preserve">ournal of </w:t>
      </w:r>
      <w:r>
        <w:rPr>
          <w:rFonts w:asciiTheme="minorHAnsi" w:hAnsiTheme="minorHAnsi"/>
          <w:sz w:val="18"/>
        </w:rPr>
        <w:t>Medicine 10:42.</w:t>
      </w:r>
    </w:p>
    <w:p w:rsidR="00C75037" w:rsidRPr="00925505" w:rsidRDefault="00C75037" w:rsidP="00C75037">
      <w:pPr>
        <w:pStyle w:val="List"/>
        <w:numPr>
          <w:ilvl w:val="0"/>
          <w:numId w:val="3"/>
        </w:numPr>
        <w:tabs>
          <w:tab w:val="left" w:pos="384"/>
          <w:tab w:val="left" w:pos="540"/>
          <w:tab w:val="num" w:pos="630"/>
        </w:tabs>
        <w:spacing w:line="240" w:lineRule="auto"/>
        <w:ind w:right="117"/>
        <w:rPr>
          <w:sz w:val="18"/>
        </w:rPr>
      </w:pPr>
      <w:proofErr w:type="spellStart"/>
      <w:r w:rsidRPr="00925505">
        <w:rPr>
          <w:rFonts w:asciiTheme="minorHAnsi" w:hAnsiTheme="minorHAnsi"/>
          <w:sz w:val="18"/>
        </w:rPr>
        <w:t>Neben-Wittich</w:t>
      </w:r>
      <w:proofErr w:type="spellEnd"/>
      <w:r w:rsidRPr="00925505">
        <w:rPr>
          <w:rFonts w:asciiTheme="minorHAnsi" w:hAnsiTheme="minorHAnsi"/>
          <w:sz w:val="18"/>
        </w:rPr>
        <w:t xml:space="preserve"> MA, Foote RL, </w:t>
      </w:r>
      <w:proofErr w:type="spellStart"/>
      <w:r w:rsidRPr="00925505">
        <w:rPr>
          <w:rFonts w:asciiTheme="minorHAnsi" w:hAnsiTheme="minorHAnsi"/>
          <w:sz w:val="18"/>
        </w:rPr>
        <w:t>Kalra</w:t>
      </w:r>
      <w:proofErr w:type="spellEnd"/>
      <w:r w:rsidRPr="00925505">
        <w:rPr>
          <w:rFonts w:asciiTheme="minorHAnsi" w:hAnsiTheme="minorHAnsi"/>
          <w:sz w:val="18"/>
        </w:rPr>
        <w:t xml:space="preserve"> S. (2007) External beam radiation therapy for tracheobronchial amyloidosis. Chest 132:262-267.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82BB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C75037" w:rsidRDefault="008756E6" w:rsidP="00C75037">
      <w:pPr>
        <w:ind w:right="4234"/>
        <w:rPr>
          <w:rFonts w:ascii="Arial"/>
          <w:u w:val="single"/>
        </w:rPr>
      </w:pPr>
      <w:r>
        <w:rPr>
          <w:noProof/>
        </w:rPr>
        <w:t xml:space="preserve">              </w:t>
      </w:r>
      <w:r w:rsidR="00C75037" w:rsidRPr="00C75037">
        <w:rPr>
          <w:rFonts w:ascii="Arial"/>
          <w:noProof/>
          <w:color w:val="BF5A14"/>
          <w:u w:val="single"/>
        </w:rPr>
        <w:drawing>
          <wp:inline distT="0" distB="0" distL="0" distR="0" wp14:anchorId="3ACCF0F4" wp14:editId="6344826D">
            <wp:extent cx="782727" cy="7827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tinez-alvaro-a-we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2158" cy="782158"/>
                    </a:xfrm>
                    <a:prstGeom prst="rect">
                      <a:avLst/>
                    </a:prstGeom>
                  </pic:spPr>
                </pic:pic>
              </a:graphicData>
            </a:graphic>
          </wp:inline>
        </w:drawing>
      </w:r>
      <w:r w:rsidR="00A9710C" w:rsidRPr="00C75037">
        <w:rPr>
          <w:rFonts w:ascii="Arial"/>
          <w:color w:val="BF5A14"/>
          <w:u w:val="single"/>
        </w:rPr>
        <w:t>Biography</w:t>
      </w:r>
      <w:r w:rsidR="00404E5B" w:rsidRPr="00C75037">
        <w:rPr>
          <w:rFonts w:ascii="Arial"/>
          <w:color w:val="BF5A14"/>
          <w:u w:val="single"/>
        </w:rPr>
        <w:t xml:space="preserve"> (150 word limit)</w:t>
      </w:r>
    </w:p>
    <w:p w:rsidR="00C75037" w:rsidRPr="00C75037" w:rsidRDefault="00C75037" w:rsidP="00C75037">
      <w:pPr>
        <w:pStyle w:val="NormalWeb"/>
        <w:spacing w:before="0" w:beforeAutospacing="0"/>
        <w:ind w:left="90"/>
        <w:rPr>
          <w:rFonts w:ascii="Arial" w:hAnsi="Arial" w:cs="Arial"/>
          <w:sz w:val="14"/>
        </w:rPr>
      </w:pPr>
      <w:r w:rsidRPr="00C75037">
        <w:rPr>
          <w:rFonts w:ascii="Arial" w:hAnsi="Arial" w:cs="Arial"/>
          <w:sz w:val="14"/>
        </w:rPr>
        <w:t xml:space="preserve">For over three decades, Dr. Alvaro Martinez has pioneered several cancer treatments in Radiation Oncology leading to the significant improvement of today's Radiation Therapy outcomes. These include Intensity Modulated Radiation Therapy (IMRT) and Image Guided Radiation Therapy (IGRT) to improve precision and accuracy in radiation treatment delivery, special applicators used to treat prostate, gynecological and other pelvic malignancies to preserve organ function as well as </w:t>
      </w:r>
      <w:proofErr w:type="spellStart"/>
      <w:r w:rsidRPr="00C75037">
        <w:rPr>
          <w:rFonts w:ascii="Arial" w:hAnsi="Arial" w:cs="Arial"/>
          <w:sz w:val="14"/>
        </w:rPr>
        <w:t>Omnibeam</w:t>
      </w:r>
      <w:proofErr w:type="spellEnd"/>
      <w:r w:rsidRPr="00C75037">
        <w:rPr>
          <w:rFonts w:ascii="Arial" w:hAnsi="Arial" w:cs="Arial"/>
          <w:sz w:val="14"/>
        </w:rPr>
        <w:t>, which is designed for treating very difficult tumors deep within the body. He has published over 360 papers in medical journals and written 54 book chapters. </w:t>
      </w:r>
      <w:r>
        <w:rPr>
          <w:rFonts w:ascii="Arial" w:hAnsi="Arial" w:cs="Arial"/>
          <w:sz w:val="14"/>
        </w:rPr>
        <w:t>Dr. Martinez was an integral part of the conceptual design of the radiation research program into AD and in the development of the clinical trial.</w:t>
      </w:r>
    </w:p>
    <w:p w:rsidR="00AE3E37" w:rsidRPr="00C75037" w:rsidRDefault="00A9710C" w:rsidP="00C75037">
      <w:pPr>
        <w:spacing w:before="62"/>
        <w:ind w:left="4217" w:right="4235"/>
        <w:jc w:val="center"/>
        <w:rPr>
          <w:rFonts w:ascii="Arial"/>
          <w:sz w:val="19"/>
        </w:rPr>
        <w:sectPr w:rsidR="00AE3E37" w:rsidRPr="00C75037">
          <w:type w:val="continuous"/>
          <w:pgSz w:w="11910" w:h="16840"/>
          <w:pgMar w:top="1740" w:right="600" w:bottom="840" w:left="620" w:header="720" w:footer="720" w:gutter="0"/>
          <w:cols w:space="720"/>
        </w:sectPr>
      </w:pPr>
      <w:r>
        <w:rPr>
          <w:rFonts w:ascii="Arial"/>
          <w:sz w:val="14"/>
        </w:rPr>
        <w:t xml:space="preserve">Email: </w:t>
      </w:r>
      <w:r w:rsidR="00C75037" w:rsidRPr="00C75037">
        <w:rPr>
          <w:rFonts w:ascii="Arial"/>
          <w:sz w:val="14"/>
        </w:rPr>
        <w:t>alvaro.martinez@21co.com</w:t>
      </w:r>
      <w:r w:rsidR="00292ED9">
        <w:rPr>
          <w:noProof/>
        </w:rPr>
        <mc:AlternateContent>
          <mc:Choice Requires="wps">
            <w:drawing>
              <wp:anchor distT="0" distB="0" distL="0" distR="0" simplePos="0" relativeHeight="1072" behindDoc="0" locked="0" layoutInCell="1" allowOverlap="1" wp14:anchorId="1F9579CF" wp14:editId="446EC78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EB9E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07B" w:rsidRDefault="001D207B">
      <w:r>
        <w:separator/>
      </w:r>
    </w:p>
  </w:endnote>
  <w:endnote w:type="continuationSeparator" w:id="0">
    <w:p w:rsidR="001D207B" w:rsidRDefault="001D2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07B" w:rsidRDefault="001D207B">
      <w:r>
        <w:separator/>
      </w:r>
    </w:p>
  </w:footnote>
  <w:footnote w:type="continuationSeparator" w:id="0">
    <w:p w:rsidR="001D207B" w:rsidRDefault="001D20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3CE"/>
    <w:rsid w:val="000E2911"/>
    <w:rsid w:val="001263DF"/>
    <w:rsid w:val="00162FBA"/>
    <w:rsid w:val="001D207B"/>
    <w:rsid w:val="00292ED9"/>
    <w:rsid w:val="003A55D4"/>
    <w:rsid w:val="0040423C"/>
    <w:rsid w:val="00404E5B"/>
    <w:rsid w:val="00414F7B"/>
    <w:rsid w:val="004355DC"/>
    <w:rsid w:val="004749B4"/>
    <w:rsid w:val="00494130"/>
    <w:rsid w:val="004F3523"/>
    <w:rsid w:val="005973B9"/>
    <w:rsid w:val="005B3A56"/>
    <w:rsid w:val="006060CE"/>
    <w:rsid w:val="0063497F"/>
    <w:rsid w:val="006E5D02"/>
    <w:rsid w:val="00743972"/>
    <w:rsid w:val="00873DF0"/>
    <w:rsid w:val="008756E6"/>
    <w:rsid w:val="00880785"/>
    <w:rsid w:val="00906F90"/>
    <w:rsid w:val="009B2D44"/>
    <w:rsid w:val="00A07E82"/>
    <w:rsid w:val="00A9710C"/>
    <w:rsid w:val="00AC1ACE"/>
    <w:rsid w:val="00AE3E37"/>
    <w:rsid w:val="00B21A57"/>
    <w:rsid w:val="00C33602"/>
    <w:rsid w:val="00C75037"/>
    <w:rsid w:val="00CD6F55"/>
    <w:rsid w:val="00DE3104"/>
    <w:rsid w:val="00EB3AC3"/>
    <w:rsid w:val="00EB56D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BE30DA-58B4-40E9-9DD8-7EFB7C6F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List">
    <w:name w:val="List"/>
    <w:basedOn w:val="Normal"/>
    <w:rsid w:val="00C75037"/>
    <w:pPr>
      <w:widowControl/>
      <w:spacing w:line="360" w:lineRule="auto"/>
      <w:ind w:left="288"/>
    </w:pPr>
    <w:rPr>
      <w:rFonts w:ascii="Verdana" w:eastAsia="Times New Roman" w:hAnsi="Verdana" w:cs="Times New Roman"/>
      <w:szCs w:val="20"/>
    </w:rPr>
  </w:style>
  <w:style w:type="character" w:customStyle="1" w:styleId="jrnl">
    <w:name w:val="jrnl"/>
    <w:rsid w:val="00C75037"/>
  </w:style>
  <w:style w:type="paragraph" w:styleId="NormalWeb">
    <w:name w:val="Normal (Web)"/>
    <w:basedOn w:val="Normal"/>
    <w:uiPriority w:val="99"/>
    <w:semiHidden/>
    <w:unhideWhenUsed/>
    <w:rsid w:val="00C7503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27820808">
      <w:bodyDiv w:val="1"/>
      <w:marLeft w:val="0"/>
      <w:marRight w:val="0"/>
      <w:marTop w:val="0"/>
      <w:marBottom w:val="0"/>
      <w:divBdr>
        <w:top w:val="none" w:sz="0" w:space="0" w:color="auto"/>
        <w:left w:val="none" w:sz="0" w:space="0" w:color="auto"/>
        <w:bottom w:val="none" w:sz="0" w:space="0" w:color="auto"/>
        <w:right w:val="none" w:sz="0" w:space="0" w:color="auto"/>
      </w:divBdr>
      <w:divsChild>
        <w:div w:id="1094976395">
          <w:marLeft w:val="0"/>
          <w:marRight w:val="0"/>
          <w:marTop w:val="0"/>
          <w:marBottom w:val="0"/>
          <w:divBdr>
            <w:top w:val="none" w:sz="0" w:space="0" w:color="auto"/>
            <w:left w:val="none" w:sz="0" w:space="0" w:color="auto"/>
            <w:bottom w:val="none" w:sz="0" w:space="0" w:color="auto"/>
            <w:right w:val="none" w:sz="0" w:space="0" w:color="auto"/>
          </w:divBdr>
          <w:divsChild>
            <w:div w:id="7419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ti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Fontanesi, James, MD</cp:lastModifiedBy>
  <cp:revision>4</cp:revision>
  <dcterms:created xsi:type="dcterms:W3CDTF">2019-10-15T18:33:00Z</dcterms:created>
  <dcterms:modified xsi:type="dcterms:W3CDTF">2019-10-17T17:48:00Z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