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6E57F" w14:textId="1317A767" w:rsidR="00AE3E37" w:rsidRDefault="00C77889" w:rsidP="00494130">
      <w:pPr>
        <w:pStyle w:val="Heading1"/>
        <w:spacing w:before="170"/>
        <w:ind w:left="0"/>
      </w:pPr>
      <w:r w:rsidRPr="00C77889">
        <w:rPr>
          <w:color w:val="337AB7"/>
        </w:rPr>
        <w:t xml:space="preserve">Comparison of brief clinical delirium and cognitive testing amongst patients admitted via the Trauma and </w:t>
      </w:r>
      <w:proofErr w:type="spellStart"/>
      <w:r w:rsidRPr="00C77889">
        <w:rPr>
          <w:color w:val="337AB7"/>
        </w:rPr>
        <w:t>Orthopaedic</w:t>
      </w:r>
      <w:proofErr w:type="spellEnd"/>
      <w:r w:rsidRPr="00C77889">
        <w:rPr>
          <w:color w:val="337AB7"/>
        </w:rPr>
        <w:t xml:space="preserve"> (T&amp;O) acute intake - a service evaluation on the clinical dependence, efficacy and accessibility of implementing Gwent Orientation and Awareness Listing (GOAL) testing in relation to the 4AT at the Royal Gwent Hospital Newport</w:t>
      </w:r>
      <w:r>
        <w:rPr>
          <w:color w:val="337AB7"/>
        </w:rPr>
        <w:t>, UK</w:t>
      </w:r>
    </w:p>
    <w:p w14:paraId="680F10E0" w14:textId="57B5F97E" w:rsidR="005973B9" w:rsidRDefault="00C77889" w:rsidP="005973B9">
      <w:pPr>
        <w:pStyle w:val="BodyText"/>
        <w:spacing w:before="73" w:line="198" w:lineRule="exact"/>
        <w:ind w:left="100" w:right="5987"/>
        <w:rPr>
          <w:rFonts w:ascii="Arial"/>
        </w:rPr>
      </w:pPr>
      <w:r>
        <w:rPr>
          <w:rFonts w:ascii="Arial"/>
        </w:rPr>
        <w:t xml:space="preserve">Jack Wellington LGMS, </w:t>
      </w:r>
      <w:r w:rsidRPr="00C77889">
        <w:rPr>
          <w:rFonts w:ascii="Arial"/>
        </w:rPr>
        <w:t>4th year medical student, Cardiff</w:t>
      </w:r>
      <w:r>
        <w:rPr>
          <w:rFonts w:ascii="Arial"/>
        </w:rPr>
        <w:t xml:space="preserve"> </w:t>
      </w:r>
      <w:r w:rsidRPr="00C77889">
        <w:rPr>
          <w:rFonts w:ascii="Arial"/>
        </w:rPr>
        <w:t>University, UK</w:t>
      </w:r>
    </w:p>
    <w:p w14:paraId="2507561E" w14:textId="77777777" w:rsidR="00AE3E37" w:rsidRDefault="00AE3E37">
      <w:pPr>
        <w:pStyle w:val="BodyText"/>
        <w:rPr>
          <w:rFonts w:ascii="Arial"/>
          <w:sz w:val="20"/>
        </w:rPr>
      </w:pPr>
    </w:p>
    <w:p w14:paraId="257F703A" w14:textId="77777777" w:rsidR="00AE3E37" w:rsidRDefault="00AE3E37">
      <w:pPr>
        <w:pStyle w:val="BodyText"/>
        <w:spacing w:before="3"/>
        <w:rPr>
          <w:rFonts w:ascii="Arial"/>
          <w:sz w:val="21"/>
        </w:rPr>
      </w:pPr>
    </w:p>
    <w:p w14:paraId="250124CF" w14:textId="05D4B240" w:rsidR="00AE3E37" w:rsidRDefault="00C77889">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Pr>
          <w:rFonts w:ascii="Arial"/>
          <w:sz w:val="21"/>
        </w:rPr>
        <w:t xml:space="preserve">Co-authors: </w:t>
      </w:r>
      <w:r w:rsidRPr="00C77889">
        <w:rPr>
          <w:rFonts w:ascii="Arial"/>
          <w:sz w:val="21"/>
        </w:rPr>
        <w:t xml:space="preserve">Alexander </w:t>
      </w:r>
      <w:proofErr w:type="spellStart"/>
      <w:r w:rsidRPr="00C77889">
        <w:rPr>
          <w:rFonts w:ascii="Arial"/>
          <w:sz w:val="21"/>
        </w:rPr>
        <w:t>Eggleton</w:t>
      </w:r>
      <w:proofErr w:type="spellEnd"/>
      <w:r w:rsidRPr="00C77889">
        <w:rPr>
          <w:rFonts w:ascii="Arial"/>
          <w:sz w:val="21"/>
        </w:rPr>
        <w:t xml:space="preserve">, Reem </w:t>
      </w:r>
      <w:proofErr w:type="spellStart"/>
      <w:r w:rsidRPr="00C77889">
        <w:rPr>
          <w:rFonts w:ascii="Arial"/>
          <w:sz w:val="21"/>
        </w:rPr>
        <w:t>Naji</w:t>
      </w:r>
      <w:proofErr w:type="spellEnd"/>
      <w:r w:rsidRPr="00C77889">
        <w:rPr>
          <w:rFonts w:ascii="Arial"/>
          <w:sz w:val="21"/>
        </w:rPr>
        <w:t xml:space="preserve">, Dr </w:t>
      </w:r>
      <w:proofErr w:type="spellStart"/>
      <w:r w:rsidRPr="00C77889">
        <w:rPr>
          <w:rFonts w:ascii="Arial"/>
          <w:sz w:val="21"/>
        </w:rPr>
        <w:t>Inderpal</w:t>
      </w:r>
      <w:proofErr w:type="spellEnd"/>
      <w:r w:rsidRPr="00C77889">
        <w:rPr>
          <w:rFonts w:ascii="Arial"/>
          <w:sz w:val="21"/>
        </w:rPr>
        <w:t xml:space="preserve"> Singh, Dr Miles Allison</w:t>
      </w:r>
      <w:r>
        <w:rPr>
          <w:rFonts w:ascii="Arial"/>
          <w:sz w:val="21"/>
        </w:rPr>
        <w:t xml:space="preserve"> </w:t>
      </w:r>
    </w:p>
    <w:p w14:paraId="37EDD478"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5FB802A" w14:textId="77777777" w:rsidR="00C77889" w:rsidRPr="00C77889" w:rsidRDefault="00C77889" w:rsidP="00C77889">
      <w:pPr>
        <w:pStyle w:val="Heading3"/>
        <w:spacing w:before="74"/>
        <w:rPr>
          <w:b w:val="0"/>
        </w:rPr>
      </w:pPr>
      <w:r w:rsidRPr="00C77889">
        <w:rPr>
          <w:b w:val="0"/>
        </w:rPr>
        <w:t>Background: GOAL is the brief delirium/cognitive clinical test currently employed at Royal Gwent Hospital Newport where the 4AT test is routinely utilized. To our knowledge, both tests have not been prospectively compared against, relative to equal patient cohorts.</w:t>
      </w:r>
    </w:p>
    <w:p w14:paraId="2C70A699" w14:textId="5BDFCAFA" w:rsidR="00C77889" w:rsidRPr="00C77889" w:rsidRDefault="00C77889" w:rsidP="00C77889">
      <w:pPr>
        <w:pStyle w:val="Heading3"/>
        <w:spacing w:before="74"/>
        <w:rPr>
          <w:b w:val="0"/>
        </w:rPr>
      </w:pPr>
      <w:r w:rsidRPr="00C77889">
        <w:rPr>
          <w:b w:val="0"/>
        </w:rPr>
        <w:t>Objectives: We aim to, (1) evaluate two rapidly performed valid cognitive examinations amongst the same patient cohort, and (2) assess patient testing results among acute/emergency T&amp;O admissions compared with previously</w:t>
      </w:r>
      <w:r>
        <w:rPr>
          <w:b w:val="0"/>
        </w:rPr>
        <w:t xml:space="preserve"> </w:t>
      </w:r>
      <w:r w:rsidRPr="00C77889">
        <w:rPr>
          <w:b w:val="0"/>
        </w:rPr>
        <w:t>obtained patient data presenting via the acute medical intake.</w:t>
      </w:r>
    </w:p>
    <w:p w14:paraId="78B3FF2A" w14:textId="77777777" w:rsidR="00C77889" w:rsidRPr="00C77889" w:rsidRDefault="00C77889" w:rsidP="00C77889">
      <w:pPr>
        <w:pStyle w:val="Heading3"/>
        <w:spacing w:before="74"/>
        <w:rPr>
          <w:b w:val="0"/>
        </w:rPr>
      </w:pPr>
      <w:r w:rsidRPr="00C77889">
        <w:rPr>
          <w:b w:val="0"/>
        </w:rPr>
        <w:t>Methods: Verbal consent to cognitive testing by means of GOAL and 4AT was sought from patients presenting acutely to T&amp;O over a four-week period.  A GOAL score of &lt;8/10 is deemed a “fail”, and on 4AT any error is deemed “possible cognitive impairment”.  Patient documentation regarding dementia, epilepsy, psychiatric/neurological illness was recorded alongside living arrangements.</w:t>
      </w:r>
    </w:p>
    <w:p w14:paraId="2C50E851" w14:textId="77777777" w:rsidR="00C77889" w:rsidRPr="00C77889" w:rsidRDefault="00C77889" w:rsidP="00C77889">
      <w:pPr>
        <w:pStyle w:val="Heading3"/>
        <w:spacing w:before="74"/>
        <w:rPr>
          <w:b w:val="0"/>
        </w:rPr>
      </w:pPr>
      <w:r w:rsidRPr="00C77889">
        <w:rPr>
          <w:b w:val="0"/>
        </w:rPr>
        <w:t>Results: There were 146 patients, of whom 10 were not well enough to be scored, and 1 patient declined to participate.  Therefore, results are based on a 135-patient cohort, all of whom were able to co-operate with both scores.  Of these, 92 “passed” both tests, 40 “failed” on 4AT, of which 18 also “failed” on GOAL.  There were 3 who “failed” on GOAL but passed on 4AT. Likelihood of test failure was significantly greater with 4AT (Х2 =7.65, p&lt;0.01). Ages and comparisons on GOAL testing results with historical general medical patient cohort displayed significant differences between patient co-operation in acute medical and T&amp;O intakes.</w:t>
      </w:r>
    </w:p>
    <w:p w14:paraId="0888E803" w14:textId="77777777" w:rsidR="00C77889" w:rsidRDefault="00C77889" w:rsidP="00C77889">
      <w:pPr>
        <w:pStyle w:val="Heading3"/>
        <w:spacing w:before="74"/>
        <w:rPr>
          <w:b w:val="0"/>
        </w:rPr>
      </w:pPr>
      <w:r w:rsidRPr="00C77889">
        <w:rPr>
          <w:b w:val="0"/>
        </w:rPr>
        <w:t>Conclusion</w:t>
      </w:r>
      <w:r>
        <w:rPr>
          <w:b w:val="0"/>
        </w:rPr>
        <w:t>s</w:t>
      </w:r>
      <w:r w:rsidRPr="00C77889">
        <w:rPr>
          <w:b w:val="0"/>
        </w:rPr>
        <w:t>: (1) The 4AT test is more likely to signal cognitive impairment than GOAL among T&amp;O emergency admissions; (2) T&amp;O intake patients are more likely to co-operate with cognitive testing by GOAL, and they perform better than acute medical emergency admissions.</w:t>
      </w:r>
      <w:r w:rsidR="00A9710C">
        <w:rPr>
          <w:b w:val="0"/>
        </w:rPr>
        <w:br w:type="column"/>
      </w:r>
    </w:p>
    <w:p w14:paraId="3253FE56" w14:textId="6B274973" w:rsidR="00AE3E37" w:rsidRDefault="009F627D" w:rsidP="00C77889">
      <w:pPr>
        <w:pStyle w:val="Heading3"/>
        <w:spacing w:before="74"/>
      </w:pPr>
      <w:r>
        <w:rPr>
          <w:color w:val="BF5A14"/>
        </w:rPr>
        <w:t xml:space="preserve">Profile </w:t>
      </w:r>
      <w:bookmarkStart w:id="0" w:name="_GoBack"/>
      <w:bookmarkEnd w:id="0"/>
      <w:r w:rsidR="00A9710C">
        <w:rPr>
          <w:color w:val="BF5A14"/>
        </w:rPr>
        <w:t>Image</w:t>
      </w:r>
    </w:p>
    <w:p w14:paraId="5B50F811" w14:textId="0739838D" w:rsidR="00AE3E37" w:rsidRDefault="00AE3E37">
      <w:pPr>
        <w:pStyle w:val="BodyText"/>
        <w:spacing w:before="2"/>
        <w:rPr>
          <w:rFonts w:ascii="Arial"/>
          <w:b/>
          <w:sz w:val="16"/>
        </w:rPr>
      </w:pPr>
    </w:p>
    <w:p w14:paraId="44785E23" w14:textId="1BBEDD92" w:rsidR="00C77889" w:rsidRDefault="00C77889">
      <w:pPr>
        <w:pStyle w:val="BodyText"/>
        <w:spacing w:before="2"/>
        <w:rPr>
          <w:rFonts w:ascii="Arial"/>
          <w:b/>
          <w:sz w:val="16"/>
        </w:rPr>
      </w:pPr>
      <w:r>
        <w:rPr>
          <w:rFonts w:ascii="Arial"/>
          <w:b/>
          <w:noProof/>
          <w:sz w:val="16"/>
        </w:rPr>
        <w:drawing>
          <wp:inline distT="0" distB="0" distL="0" distR="0" wp14:anchorId="0466A108" wp14:editId="2C823F30">
            <wp:extent cx="1548765" cy="1548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8765" cy="1548765"/>
                    </a:xfrm>
                    <a:prstGeom prst="rect">
                      <a:avLst/>
                    </a:prstGeom>
                    <a:noFill/>
                  </pic:spPr>
                </pic:pic>
              </a:graphicData>
            </a:graphic>
          </wp:inline>
        </w:drawing>
      </w:r>
    </w:p>
    <w:p w14:paraId="4C49815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AF2AB6F" w14:textId="7867E2DA" w:rsidR="005973B9" w:rsidRPr="00C77889" w:rsidRDefault="00C77889" w:rsidP="00C77889">
      <w:pPr>
        <w:pStyle w:val="ListParagraph"/>
        <w:numPr>
          <w:ilvl w:val="0"/>
          <w:numId w:val="3"/>
        </w:numPr>
        <w:rPr>
          <w:sz w:val="18"/>
        </w:rPr>
      </w:pPr>
      <w:proofErr w:type="spellStart"/>
      <w:r w:rsidRPr="00C77889">
        <w:rPr>
          <w:sz w:val="18"/>
        </w:rPr>
        <w:t>Kopczynska</w:t>
      </w:r>
      <w:proofErr w:type="spellEnd"/>
      <w:r w:rsidRPr="00C77889">
        <w:rPr>
          <w:sz w:val="18"/>
        </w:rPr>
        <w:t xml:space="preserve">, M.; Sharif, B.; Unwin, H.; Lynch, J.; Forrester, A.; </w:t>
      </w:r>
      <w:proofErr w:type="spellStart"/>
      <w:r w:rsidRPr="00C77889">
        <w:rPr>
          <w:sz w:val="18"/>
        </w:rPr>
        <w:t>Zeicu</w:t>
      </w:r>
      <w:proofErr w:type="spellEnd"/>
      <w:r w:rsidRPr="00C77889">
        <w:rPr>
          <w:sz w:val="18"/>
        </w:rPr>
        <w:t xml:space="preserve">, C.; Cleaver, S.; </w:t>
      </w:r>
      <w:proofErr w:type="spellStart"/>
      <w:r w:rsidRPr="00C77889">
        <w:rPr>
          <w:sz w:val="18"/>
        </w:rPr>
        <w:t>Kulikouskaya</w:t>
      </w:r>
      <w:proofErr w:type="spellEnd"/>
      <w:r w:rsidRPr="00C77889">
        <w:rPr>
          <w:sz w:val="18"/>
        </w:rPr>
        <w:t xml:space="preserve">, S.; </w:t>
      </w:r>
      <w:proofErr w:type="spellStart"/>
      <w:r w:rsidRPr="00C77889">
        <w:rPr>
          <w:sz w:val="18"/>
        </w:rPr>
        <w:t>Chandy</w:t>
      </w:r>
      <w:proofErr w:type="spellEnd"/>
      <w:r w:rsidRPr="00C77889">
        <w:rPr>
          <w:sz w:val="18"/>
        </w:rPr>
        <w:t xml:space="preserve">, T.; Ang, E.; Murphy, E.; </w:t>
      </w:r>
      <w:proofErr w:type="spellStart"/>
      <w:r w:rsidRPr="00C77889">
        <w:rPr>
          <w:sz w:val="18"/>
        </w:rPr>
        <w:t>Asim</w:t>
      </w:r>
      <w:proofErr w:type="spellEnd"/>
      <w:r w:rsidRPr="00C77889">
        <w:rPr>
          <w:sz w:val="18"/>
        </w:rPr>
        <w:t xml:space="preserve">, U.; Payne, B.; Nicholas, J.; Waller, A.; Owen, A.; Tan, Z.X.; Ross, R.; Wellington, J.; Amjad, Y.; </w:t>
      </w:r>
      <w:proofErr w:type="spellStart"/>
      <w:r w:rsidRPr="00C77889">
        <w:rPr>
          <w:sz w:val="18"/>
        </w:rPr>
        <w:t>Unadkat</w:t>
      </w:r>
      <w:proofErr w:type="spellEnd"/>
      <w:r w:rsidRPr="00C77889">
        <w:rPr>
          <w:sz w:val="18"/>
        </w:rPr>
        <w:t xml:space="preserve">, V.; Hussain, F.; Smith, J.; </w:t>
      </w:r>
      <w:proofErr w:type="spellStart"/>
      <w:r w:rsidRPr="00C77889">
        <w:rPr>
          <w:sz w:val="18"/>
        </w:rPr>
        <w:t>Ganesananthan</w:t>
      </w:r>
      <w:proofErr w:type="spellEnd"/>
      <w:r w:rsidRPr="00C77889">
        <w:rPr>
          <w:sz w:val="18"/>
        </w:rPr>
        <w:t xml:space="preserve">, S.; Penney, H.; Inns, J.; Gilbert, C.; Doyle, N.; </w:t>
      </w:r>
      <w:proofErr w:type="spellStart"/>
      <w:r w:rsidRPr="00C77889">
        <w:rPr>
          <w:sz w:val="18"/>
        </w:rPr>
        <w:t>Kurani</w:t>
      </w:r>
      <w:proofErr w:type="spellEnd"/>
      <w:r w:rsidRPr="00C77889">
        <w:rPr>
          <w:sz w:val="18"/>
        </w:rPr>
        <w:t xml:space="preserve">, A.; </w:t>
      </w:r>
      <w:proofErr w:type="spellStart"/>
      <w:r w:rsidRPr="00C77889">
        <w:rPr>
          <w:sz w:val="18"/>
        </w:rPr>
        <w:t>Grother</w:t>
      </w:r>
      <w:proofErr w:type="spellEnd"/>
      <w:r w:rsidRPr="00C77889">
        <w:rPr>
          <w:sz w:val="18"/>
        </w:rPr>
        <w:t xml:space="preserve">, T.; McNulty, P.; Sharma, A.; </w:t>
      </w:r>
      <w:proofErr w:type="spellStart"/>
      <w:r w:rsidRPr="00C77889">
        <w:rPr>
          <w:sz w:val="18"/>
        </w:rPr>
        <w:t>Szakmany</w:t>
      </w:r>
      <w:proofErr w:type="spellEnd"/>
      <w:r w:rsidRPr="00C77889">
        <w:rPr>
          <w:sz w:val="18"/>
        </w:rPr>
        <w:t>, T. Real World Patterns of Antimicrobial Use and Microbiology Investigations in Patients with Sepsis outside the Critical Care Unit: Secondary Analysis of Three Nation-Wide Point Prevalence Studies. J. Clin. Med. 2019, 8, 1337. PMID:31470569</w:t>
      </w:r>
    </w:p>
    <w:p w14:paraId="568C7859" w14:textId="77777777" w:rsidR="00AE3E37" w:rsidRPr="008756E6" w:rsidRDefault="00AE3E37" w:rsidP="008756E6">
      <w:pPr>
        <w:tabs>
          <w:tab w:val="left" w:pos="384"/>
        </w:tabs>
        <w:ind w:right="117"/>
      </w:pPr>
    </w:p>
    <w:p w14:paraId="65F1E40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BC6618D" w14:textId="77777777" w:rsidR="00AE3E37" w:rsidRDefault="00AE3E37">
      <w:pPr>
        <w:pStyle w:val="BodyText"/>
        <w:rPr>
          <w:rFonts w:ascii="Calibri"/>
          <w:sz w:val="20"/>
        </w:rPr>
      </w:pPr>
    </w:p>
    <w:p w14:paraId="549912B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04F4D52" wp14:editId="5D5633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A0F7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F710FE4" w14:textId="4476AD1F"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F7B63E2" w14:textId="2D92CE6C" w:rsidR="00AE3E37" w:rsidRPr="00C77889" w:rsidRDefault="00C77889">
      <w:pPr>
        <w:spacing w:before="41" w:line="154" w:lineRule="exact"/>
        <w:ind w:left="213" w:right="231"/>
        <w:jc w:val="both"/>
        <w:rPr>
          <w:rFonts w:ascii="Arial"/>
          <w:sz w:val="16"/>
          <w:szCs w:val="24"/>
        </w:rPr>
      </w:pPr>
      <w:r w:rsidRPr="00C77889">
        <w:rPr>
          <w:rFonts w:ascii="Arial"/>
          <w:sz w:val="16"/>
          <w:szCs w:val="24"/>
        </w:rPr>
        <w:t xml:space="preserve">Jack Wellington LGMS is a Year 4 Medical Student at Cardiff University Medical School, eager to pursue a career in Neurosurgery alongside attaining a DTM&amp;H for clinical practice globally, achieve a PhD in Surgical Sciences (specializing in Neuroinfectious Diseases), a WHO Internship in Geneva, and an academic foundation post (conducting research in neurosurgical practice). I am currently intercalating at the LSHTM for a MSc Medical Microbiology and aspire to undertake a neurosurgery elective at Oxford/Harvard/Yale University. He currently holds various national and university society positions, examples including Research and Audit Lead for the Student Psychiatry Audit and Research Collaborative (SPARC) </w:t>
      </w:r>
      <w:r w:rsidRPr="00C77889">
        <w:rPr>
          <w:rFonts w:ascii="Arial"/>
          <w:sz w:val="16"/>
          <w:szCs w:val="24"/>
        </w:rPr>
        <w:lastRenderedPageBreak/>
        <w:t>UK, President and Founder of Cardiff University Infectious Diseases Society, RCPSG Trainees</w:t>
      </w:r>
      <w:r w:rsidRPr="00C77889">
        <w:rPr>
          <w:rFonts w:ascii="Arial"/>
          <w:sz w:val="16"/>
          <w:szCs w:val="24"/>
        </w:rPr>
        <w:t>’</w:t>
      </w:r>
      <w:r w:rsidRPr="00C77889">
        <w:rPr>
          <w:rFonts w:ascii="Arial"/>
          <w:sz w:val="16"/>
          <w:szCs w:val="24"/>
        </w:rPr>
        <w:t xml:space="preserve"> Committee Undergraduate/Student Member, previous positions including president, clinical and intensive care leads for Cardiff University Dermatology, Clinical Neurosciences and Anesthetics, Perioperative and Intensive Care Societies respectively, and has lead several local and national audits/research projects.</w:t>
      </w:r>
    </w:p>
    <w:p w14:paraId="3BB3CEF0" w14:textId="13C6877E" w:rsidR="00AE3E37" w:rsidRPr="00C77889" w:rsidRDefault="00A9710C">
      <w:pPr>
        <w:spacing w:before="62"/>
        <w:ind w:left="4217" w:right="4235"/>
        <w:jc w:val="center"/>
        <w:rPr>
          <w:rFonts w:ascii="Arial"/>
          <w:sz w:val="12"/>
          <w:szCs w:val="20"/>
        </w:rPr>
      </w:pPr>
      <w:r w:rsidRPr="00C77889">
        <w:rPr>
          <w:rFonts w:ascii="Arial"/>
          <w:sz w:val="16"/>
          <w:szCs w:val="24"/>
        </w:rPr>
        <w:t xml:space="preserve">Email: </w:t>
      </w:r>
      <w:r w:rsidR="00C77889" w:rsidRPr="00C77889">
        <w:rPr>
          <w:sz w:val="20"/>
          <w:szCs w:val="20"/>
        </w:rPr>
        <w:t>wellingtonj1@cardiff.ac.uk</w:t>
      </w:r>
    </w:p>
    <w:p w14:paraId="7C168E26" w14:textId="77777777" w:rsidR="00AE3E37" w:rsidRPr="00C77889" w:rsidRDefault="00292ED9">
      <w:pPr>
        <w:pStyle w:val="BodyText"/>
        <w:spacing w:before="2"/>
        <w:rPr>
          <w:rFonts w:ascii="Arial"/>
          <w:sz w:val="16"/>
          <w:szCs w:val="14"/>
        </w:rPr>
      </w:pPr>
      <w:r w:rsidRPr="00C77889">
        <w:rPr>
          <w:noProof/>
          <w:sz w:val="14"/>
          <w:szCs w:val="14"/>
          <w:lang w:val="en-IN" w:eastAsia="en-IN"/>
        </w:rPr>
        <mc:AlternateContent>
          <mc:Choice Requires="wps">
            <w:drawing>
              <wp:anchor distT="0" distB="0" distL="0" distR="0" simplePos="0" relativeHeight="251658240" behindDoc="0" locked="0" layoutInCell="1" allowOverlap="1" wp14:anchorId="7E8BD062" wp14:editId="54C635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02D59"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8583428" w14:textId="77777777" w:rsidR="00AE3E37" w:rsidRDefault="00AE3E37">
      <w:pPr>
        <w:pStyle w:val="BodyText"/>
        <w:rPr>
          <w:rFonts w:ascii="Arial"/>
          <w:sz w:val="20"/>
        </w:rPr>
      </w:pPr>
    </w:p>
    <w:p w14:paraId="3AD588D2" w14:textId="77777777" w:rsidR="00AE3E37" w:rsidRDefault="00AE3E37">
      <w:pPr>
        <w:pStyle w:val="BodyText"/>
        <w:rPr>
          <w:rFonts w:ascii="Arial"/>
          <w:sz w:val="20"/>
        </w:rPr>
      </w:pPr>
    </w:p>
    <w:p w14:paraId="2CEEB329" w14:textId="77777777" w:rsidR="00AE3E37" w:rsidRDefault="00AE3E37">
      <w:pPr>
        <w:pStyle w:val="BodyText"/>
        <w:spacing w:before="7"/>
        <w:rPr>
          <w:rFonts w:ascii="Arial"/>
          <w:sz w:val="29"/>
        </w:rPr>
      </w:pPr>
    </w:p>
    <w:p w14:paraId="50B995F4" w14:textId="6ECB49E4" w:rsidR="00AE3E37" w:rsidRPr="00C77889" w:rsidRDefault="00A9710C" w:rsidP="00C77889">
      <w:pPr>
        <w:spacing w:before="39"/>
        <w:ind w:left="100"/>
        <w:rPr>
          <w:rFonts w:ascii="Minion Pro"/>
          <w:b/>
          <w:sz w:val="20"/>
        </w:rPr>
        <w:sectPr w:rsidR="00AE3E37" w:rsidRPr="00C77889">
          <w:type w:val="continuous"/>
          <w:pgSz w:w="11910" w:h="16840"/>
          <w:pgMar w:top="1740" w:right="600" w:bottom="840" w:left="620" w:header="720" w:footer="720" w:gutter="0"/>
          <w:cols w:space="720"/>
        </w:sectPr>
      </w:pPr>
      <w:r w:rsidRPr="00B21A57">
        <w:rPr>
          <w:rFonts w:ascii="Minion Pro"/>
          <w:b/>
          <w:sz w:val="20"/>
        </w:rPr>
        <w:t>Notes/Comments:</w:t>
      </w:r>
      <w:r w:rsidR="00C77889">
        <w:rPr>
          <w:rFonts w:ascii="Minion Pro"/>
          <w:b/>
          <w:sz w:val="20"/>
        </w:rPr>
        <w:t xml:space="preserve">  Abstract submission for either poster or oral presentation.</w:t>
      </w:r>
    </w:p>
    <w:p w14:paraId="7ABA836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7BA81" w14:textId="77777777" w:rsidR="00B347BA" w:rsidRDefault="00B347BA">
      <w:r>
        <w:separator/>
      </w:r>
    </w:p>
  </w:endnote>
  <w:endnote w:type="continuationSeparator" w:id="0">
    <w:p w14:paraId="38FC13DB" w14:textId="77777777" w:rsidR="00B347BA" w:rsidRDefault="00B3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C6F1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2A82CE4" wp14:editId="38CF234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1B92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A9D6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82CE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A81B92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A9D6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D89761E" wp14:editId="1D854B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E73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D307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9761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4EE73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D307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DADFE83" wp14:editId="3709A3F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B7B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BA57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DFE8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9FB7B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BA57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58505" w14:textId="77777777" w:rsidR="00B347BA" w:rsidRDefault="00B347BA">
      <w:r>
        <w:separator/>
      </w:r>
    </w:p>
  </w:footnote>
  <w:footnote w:type="continuationSeparator" w:id="0">
    <w:p w14:paraId="41201047" w14:textId="77777777" w:rsidR="00B347BA" w:rsidRDefault="00B34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B1FF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33537D1" wp14:editId="0BAB3E3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4BD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537D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7E4BD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37EB665" wp14:editId="6F28288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ED31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F3DB9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B66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DFED31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F3DB9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9F627D"/>
    <w:rsid w:val="00A07E82"/>
    <w:rsid w:val="00A9710C"/>
    <w:rsid w:val="00AD141B"/>
    <w:rsid w:val="00AE3E37"/>
    <w:rsid w:val="00B21A57"/>
    <w:rsid w:val="00B347BA"/>
    <w:rsid w:val="00C33602"/>
    <w:rsid w:val="00C77889"/>
    <w:rsid w:val="00CD6F55"/>
    <w:rsid w:val="00CE1C5D"/>
    <w:rsid w:val="00CE3C77"/>
    <w:rsid w:val="00DE3104"/>
    <w:rsid w:val="00E30C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D1395"/>
  <w15:docId w15:val="{18D7DD29-A880-4986-AD5D-DB3F8883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cp:lastModifiedBy>
  <cp:revision>2</cp:revision>
  <dcterms:created xsi:type="dcterms:W3CDTF">2019-09-05T11:01:00Z</dcterms:created>
  <dcterms:modified xsi:type="dcterms:W3CDTF">2019-09-05T11:01:00Z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