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17C1" w:rsidRPr="009217C1" w:rsidRDefault="005E386E" w:rsidP="009217C1">
      <w:pPr>
        <w:pStyle w:val="1"/>
        <w:spacing w:before="170"/>
        <w:ind w:left="0"/>
        <w:rPr>
          <w:color w:val="337AB7"/>
        </w:rPr>
      </w:pPr>
      <w:r>
        <w:rPr>
          <w:color w:val="337AB7"/>
        </w:rPr>
        <w:t xml:space="preserve">Title: </w:t>
      </w:r>
      <w:r w:rsidR="007406F5">
        <w:rPr>
          <w:color w:val="337AB7"/>
        </w:rPr>
        <w:t>T</w:t>
      </w:r>
      <w:r w:rsidR="007406F5" w:rsidRPr="007406F5">
        <w:rPr>
          <w:color w:val="337AB7"/>
        </w:rPr>
        <w:t xml:space="preserve">he </w:t>
      </w:r>
      <w:r w:rsidR="007406F5" w:rsidRPr="007406F5">
        <w:rPr>
          <w:color w:val="337AB7"/>
        </w:rPr>
        <w:t>crystallography and pharmacological</w:t>
      </w:r>
      <w:r w:rsidR="007406F5" w:rsidRPr="007406F5">
        <w:rPr>
          <w:color w:val="337AB7"/>
        </w:rPr>
        <w:t xml:space="preserve"> </w:t>
      </w:r>
      <w:r w:rsidR="007406F5" w:rsidRPr="007406F5">
        <w:rPr>
          <w:color w:val="337AB7"/>
        </w:rPr>
        <w:t>study</w:t>
      </w:r>
      <w:r w:rsidR="007406F5" w:rsidRPr="007406F5">
        <w:rPr>
          <w:color w:val="337AB7"/>
        </w:rPr>
        <w:t xml:space="preserve"> </w:t>
      </w:r>
      <w:r w:rsidR="007406F5" w:rsidRPr="009217C1">
        <w:rPr>
          <w:color w:val="337AB7"/>
        </w:rPr>
        <w:t>of</w:t>
      </w:r>
      <w:r w:rsidR="007406F5" w:rsidRPr="007406F5">
        <w:rPr>
          <w:color w:val="337AB7"/>
        </w:rPr>
        <w:t xml:space="preserve"> </w:t>
      </w:r>
      <w:r w:rsidR="007406F5">
        <w:rPr>
          <w:color w:val="337AB7"/>
        </w:rPr>
        <w:t xml:space="preserve">a </w:t>
      </w:r>
      <w:r w:rsidR="007406F5" w:rsidRPr="007406F5">
        <w:rPr>
          <w:color w:val="337AB7"/>
        </w:rPr>
        <w:t xml:space="preserve">novel anticoagulant </w:t>
      </w:r>
      <w:r w:rsidR="007406F5" w:rsidRPr="007406F5">
        <w:rPr>
          <w:color w:val="337AB7"/>
        </w:rPr>
        <w:t>drug</w:t>
      </w:r>
      <w:r w:rsidR="007406F5">
        <w:rPr>
          <w:color w:val="337AB7"/>
        </w:rPr>
        <w:t xml:space="preserve">: </w:t>
      </w:r>
      <w:r w:rsidR="007406F5" w:rsidRPr="009217C1">
        <w:rPr>
          <w:color w:val="337AB7"/>
        </w:rPr>
        <w:t>donepezil and valsartan</w:t>
      </w:r>
      <w:r w:rsidR="007406F5" w:rsidRPr="007406F5">
        <w:rPr>
          <w:color w:val="337AB7"/>
        </w:rPr>
        <w:t xml:space="preserve"> co-crystal </w:t>
      </w:r>
    </w:p>
    <w:p w:rsidR="007C7956" w:rsidRPr="007C7956" w:rsidRDefault="000627D0" w:rsidP="007C7956">
      <w:pPr>
        <w:pStyle w:val="TextBody"/>
        <w:spacing w:before="73" w:line="198" w:lineRule="exact"/>
        <w:ind w:left="100" w:right="5987"/>
        <w:rPr>
          <w:rFonts w:ascii="Arial" w:hAnsi="Arial"/>
        </w:rPr>
      </w:pPr>
      <w:r w:rsidRPr="007C7956">
        <w:rPr>
          <w:rFonts w:ascii="Arial" w:hAnsi="Arial" w:hint="eastAsia"/>
        </w:rPr>
        <w:t>DU Guanhua</w:t>
      </w:r>
      <w:r w:rsidRPr="000627D0">
        <w:rPr>
          <w:rFonts w:ascii="Arial" w:hAnsi="Arial" w:hint="eastAsia"/>
          <w:vertAlign w:val="superscript"/>
        </w:rPr>
        <w:t>1</w:t>
      </w:r>
      <w:r w:rsidRPr="007C7956">
        <w:rPr>
          <w:rFonts w:ascii="微软雅黑" w:eastAsia="微软雅黑" w:hAnsi="微软雅黑" w:cs="微软雅黑" w:hint="eastAsia"/>
        </w:rPr>
        <w:t>，</w:t>
      </w:r>
      <w:r w:rsidR="007C7956" w:rsidRPr="007C7956">
        <w:rPr>
          <w:rFonts w:ascii="Arial" w:hAnsi="Arial" w:hint="eastAsia"/>
        </w:rPr>
        <w:t>Zhang Li</w:t>
      </w:r>
      <w:r w:rsidR="007C7956" w:rsidRPr="000627D0">
        <w:rPr>
          <w:rFonts w:ascii="Arial" w:hAnsi="Arial" w:hint="eastAsia"/>
          <w:vertAlign w:val="superscript"/>
        </w:rPr>
        <w:t>1</w:t>
      </w:r>
      <w:r w:rsidR="007C7956" w:rsidRPr="007C7956">
        <w:rPr>
          <w:rFonts w:ascii="微软雅黑" w:eastAsia="微软雅黑" w:hAnsi="微软雅黑" w:cs="微软雅黑" w:hint="eastAsia"/>
        </w:rPr>
        <w:t>，</w:t>
      </w:r>
      <w:r w:rsidR="007C7956" w:rsidRPr="007C7956">
        <w:rPr>
          <w:rFonts w:ascii="Arial" w:hAnsi="Arial" w:hint="eastAsia"/>
        </w:rPr>
        <w:t>Sheng Lisong</w:t>
      </w:r>
      <w:r w:rsidRPr="000627D0">
        <w:rPr>
          <w:rFonts w:ascii="Arial" w:hAnsi="Arial" w:hint="eastAsia"/>
          <w:vertAlign w:val="superscript"/>
        </w:rPr>
        <w:t>1</w:t>
      </w:r>
      <w:r w:rsidR="007C7956" w:rsidRPr="007C7956">
        <w:rPr>
          <w:rFonts w:ascii="微软雅黑" w:eastAsia="微软雅黑" w:hAnsi="微软雅黑" w:cs="微软雅黑" w:hint="eastAsia"/>
        </w:rPr>
        <w:t>，</w:t>
      </w:r>
      <w:r w:rsidRPr="007C7956">
        <w:rPr>
          <w:rFonts w:ascii="Arial" w:hAnsi="Arial" w:hint="eastAsia"/>
        </w:rPr>
        <w:t>Zhang Li</w:t>
      </w:r>
      <w:r w:rsidRPr="000627D0">
        <w:rPr>
          <w:rFonts w:ascii="Arial" w:hAnsi="Arial" w:hint="eastAsia"/>
          <w:vertAlign w:val="superscript"/>
        </w:rPr>
        <w:t>2</w:t>
      </w:r>
      <w:r w:rsidRPr="007C7956">
        <w:rPr>
          <w:rFonts w:ascii="微软雅黑" w:eastAsia="微软雅黑" w:hAnsi="微软雅黑" w:cs="微软雅黑" w:hint="eastAsia"/>
        </w:rPr>
        <w:t>，</w:t>
      </w:r>
      <w:r>
        <w:rPr>
          <w:rFonts w:ascii="Arial" w:hAnsi="Arial" w:hint="eastAsia"/>
        </w:rPr>
        <w:t>Lyu Yang</w:t>
      </w:r>
      <w:r w:rsidRPr="000627D0">
        <w:rPr>
          <w:rFonts w:ascii="Arial" w:hAnsi="Arial" w:hint="eastAsia"/>
          <w:vertAlign w:val="superscript"/>
        </w:rPr>
        <w:t>2</w:t>
      </w:r>
      <w:r w:rsidR="007C7956" w:rsidRPr="007C7956">
        <w:rPr>
          <w:rFonts w:ascii="微软雅黑" w:eastAsia="微软雅黑" w:hAnsi="微软雅黑" w:cs="微软雅黑" w:hint="eastAsia"/>
        </w:rPr>
        <w:t>，</w:t>
      </w:r>
    </w:p>
    <w:p w:rsidR="000627D0" w:rsidRDefault="000627D0" w:rsidP="000627D0">
      <w:pPr>
        <w:pStyle w:val="TextBody"/>
        <w:spacing w:before="73" w:line="198" w:lineRule="exact"/>
        <w:ind w:left="100" w:right="5987"/>
      </w:pPr>
      <w:r w:rsidRPr="007C7956">
        <w:rPr>
          <w:rFonts w:ascii="Arial" w:hAnsi="Arial" w:hint="eastAsia"/>
        </w:rPr>
        <w:t>1</w:t>
      </w:r>
      <w:r w:rsidRPr="007C7956">
        <w:rPr>
          <w:rFonts w:ascii="Arial" w:hAnsi="Arial"/>
        </w:rPr>
        <w:t xml:space="preserve"> Beijing City Key Laboratory of Drug Target and Screening Research, </w:t>
      </w:r>
      <w:bookmarkStart w:id="0" w:name="_GoBack"/>
      <w:bookmarkEnd w:id="0"/>
      <w:r w:rsidRPr="007C7956">
        <w:rPr>
          <w:rFonts w:ascii="Arial" w:hAnsi="Arial"/>
        </w:rPr>
        <w:t>National Center for Pharmaceutical Screening, Institute of Materia Medica, Chinese Academy of Medical Sciences and Peking Union Medical College, Beijing 100050, China</w:t>
      </w:r>
    </w:p>
    <w:p w:rsidR="007C7956" w:rsidRPr="007C7956" w:rsidRDefault="000627D0" w:rsidP="007C7956">
      <w:pPr>
        <w:pStyle w:val="TextBody"/>
        <w:spacing w:before="73" w:line="198" w:lineRule="exact"/>
        <w:ind w:left="100" w:right="5987"/>
        <w:rPr>
          <w:rFonts w:ascii="Arial" w:hAnsi="Arial"/>
        </w:rPr>
      </w:pPr>
      <w:r w:rsidRPr="007C7956">
        <w:rPr>
          <w:rFonts w:ascii="Arial" w:hAnsi="Arial"/>
        </w:rPr>
        <w:t>2</w:t>
      </w:r>
      <w:r w:rsidR="007C7956" w:rsidRPr="007C7956">
        <w:rPr>
          <w:rFonts w:ascii="Arial" w:hAnsi="Arial"/>
        </w:rPr>
        <w:t xml:space="preserve"> Peking Union Medical College, Institute of Materia Medica &amp; Chinese Academy of Medical Sciences, Research Centre of Polymorphic Drugs, Beijing Key Laboratory of Polymorphic Drug, 100050, China</w:t>
      </w:r>
    </w:p>
    <w:p w:rsidR="007E1A75" w:rsidRDefault="007E1A75" w:rsidP="00B833AD">
      <w:pPr>
        <w:pStyle w:val="3"/>
        <w:spacing w:before="147"/>
        <w:jc w:val="both"/>
        <w:rPr>
          <w:color w:val="BF5A14"/>
        </w:rPr>
        <w:sectPr w:rsidR="007E1A75">
          <w:pgSz w:w="12240" w:h="15840"/>
          <w:pgMar w:top="1440" w:right="1440" w:bottom="1440" w:left="1440" w:header="720" w:footer="720" w:gutter="0"/>
          <w:cols w:space="720"/>
          <w:docGrid w:linePitch="360"/>
        </w:sectPr>
      </w:pPr>
    </w:p>
    <w:p w:rsidR="00B833AD" w:rsidRPr="007E1A75" w:rsidRDefault="00F60D3E" w:rsidP="00B833AD">
      <w:pPr>
        <w:pStyle w:val="3"/>
        <w:spacing w:before="147"/>
        <w:jc w:val="both"/>
        <w:rPr>
          <w:rFonts w:asciiTheme="minorHAnsi" w:hAnsiTheme="minorHAnsi" w:cstheme="minorHAnsi"/>
          <w:color w:val="BF5A14"/>
          <w:sz w:val="16"/>
          <w:szCs w:val="16"/>
        </w:rPr>
      </w:pPr>
      <w:r>
        <w:rPr>
          <w:rFonts w:asciiTheme="minorHAnsi" w:hAnsiTheme="minorHAnsi" w:cstheme="minorHAnsi"/>
          <w:color w:val="BF5A14"/>
          <w:sz w:val="16"/>
          <w:szCs w:val="16"/>
        </w:rPr>
        <w:lastRenderedPageBreak/>
        <w:t xml:space="preserve">   </w:t>
      </w:r>
      <w:r w:rsidR="00B833AD" w:rsidRPr="007E1A75">
        <w:rPr>
          <w:rFonts w:asciiTheme="minorHAnsi" w:hAnsiTheme="minorHAnsi" w:cstheme="minorHAnsi"/>
          <w:color w:val="BF5A14"/>
          <w:sz w:val="16"/>
          <w:szCs w:val="16"/>
        </w:rPr>
        <w:t>Abstract: 300 words</w:t>
      </w:r>
    </w:p>
    <w:p w:rsidR="007C7956" w:rsidRDefault="009D74A1" w:rsidP="00875622">
      <w:pPr>
        <w:rPr>
          <w:rFonts w:cstheme="minorHAnsi"/>
          <w:sz w:val="16"/>
          <w:szCs w:val="16"/>
        </w:rPr>
      </w:pPr>
      <w:r>
        <w:rPr>
          <w:rFonts w:cstheme="minorHAnsi"/>
          <w:sz w:val="16"/>
          <w:szCs w:val="16"/>
        </w:rPr>
        <w:t>This paper is focus on the c</w:t>
      </w:r>
      <w:r w:rsidR="00CD062C">
        <w:rPr>
          <w:rFonts w:cstheme="minorHAnsi" w:hint="eastAsia"/>
          <w:sz w:val="16"/>
          <w:szCs w:val="16"/>
          <w:lang w:eastAsia="zh-CN"/>
        </w:rPr>
        <w:t>rystallography</w:t>
      </w:r>
      <w:r w:rsidR="00CD062C">
        <w:rPr>
          <w:rFonts w:cstheme="minorHAnsi"/>
          <w:sz w:val="16"/>
          <w:szCs w:val="16"/>
        </w:rPr>
        <w:t xml:space="preserve"> </w:t>
      </w:r>
      <w:r w:rsidR="00CD062C">
        <w:rPr>
          <w:rFonts w:cstheme="minorHAnsi" w:hint="eastAsia"/>
          <w:sz w:val="16"/>
          <w:szCs w:val="16"/>
          <w:lang w:eastAsia="zh-CN"/>
        </w:rPr>
        <w:t>and</w:t>
      </w:r>
      <w:r w:rsidR="00CD062C" w:rsidRPr="00CD062C">
        <w:rPr>
          <w:rFonts w:cstheme="minorHAnsi"/>
          <w:sz w:val="16"/>
          <w:szCs w:val="16"/>
        </w:rPr>
        <w:t xml:space="preserve"> pharmacological study of a novel drug-drug co-crystal combined with an angiotensin receptor inhibitor and an acetylcholinesterase inhibitor. </w:t>
      </w:r>
      <w:r w:rsidR="00CD062C" w:rsidRPr="007C7956">
        <w:rPr>
          <w:rFonts w:cstheme="minorHAnsi"/>
          <w:sz w:val="16"/>
          <w:szCs w:val="16"/>
        </w:rPr>
        <w:t>Donepezil is an anti-Alzheimer's drug commonly used in clinical practice and belongs to acetylcholinesterase inhibitors. Valsartan is a non-peptide, orally effective angiotensin II (AT) receptor antagonist, and is currently used as a first-line antihypertensive drug.</w:t>
      </w:r>
      <w:r w:rsidR="0068370C">
        <w:rPr>
          <w:rFonts w:cstheme="minorHAnsi"/>
          <w:sz w:val="16"/>
          <w:szCs w:val="16"/>
        </w:rPr>
        <w:t xml:space="preserve"> </w:t>
      </w:r>
      <w:r>
        <w:rPr>
          <w:rFonts w:cstheme="minorHAnsi"/>
          <w:sz w:val="16"/>
          <w:szCs w:val="16"/>
        </w:rPr>
        <w:t>V</w:t>
      </w:r>
      <w:r w:rsidR="00CD062C" w:rsidRPr="007C7956">
        <w:rPr>
          <w:rFonts w:cstheme="minorHAnsi"/>
          <w:sz w:val="16"/>
          <w:szCs w:val="16"/>
        </w:rPr>
        <w:t>alsartan ha</w:t>
      </w:r>
      <w:r>
        <w:rPr>
          <w:rFonts w:cstheme="minorHAnsi" w:hint="eastAsia"/>
          <w:sz w:val="16"/>
          <w:szCs w:val="16"/>
          <w:lang w:eastAsia="zh-CN"/>
        </w:rPr>
        <w:t>s</w:t>
      </w:r>
      <w:r w:rsidR="00CD062C" w:rsidRPr="007C7956">
        <w:rPr>
          <w:rFonts w:cstheme="minorHAnsi"/>
          <w:sz w:val="16"/>
          <w:szCs w:val="16"/>
        </w:rPr>
        <w:t xml:space="preserve"> hydrogen bonding sites in </w:t>
      </w:r>
      <w:r>
        <w:rPr>
          <w:rFonts w:cstheme="minorHAnsi" w:hint="eastAsia"/>
          <w:sz w:val="16"/>
          <w:szCs w:val="16"/>
          <w:lang w:eastAsia="zh-CN"/>
        </w:rPr>
        <w:t>crystal</w:t>
      </w:r>
      <w:r>
        <w:rPr>
          <w:rFonts w:cstheme="minorHAnsi"/>
          <w:sz w:val="16"/>
          <w:szCs w:val="16"/>
        </w:rPr>
        <w:t xml:space="preserve"> </w:t>
      </w:r>
      <w:r w:rsidR="0068370C">
        <w:rPr>
          <w:rFonts w:cstheme="minorHAnsi"/>
          <w:sz w:val="16"/>
          <w:szCs w:val="16"/>
        </w:rPr>
        <w:t>structure</w:t>
      </w:r>
      <w:r w:rsidR="0068370C">
        <w:rPr>
          <w:rFonts w:cstheme="minorHAnsi"/>
          <w:sz w:val="16"/>
          <w:szCs w:val="16"/>
          <w:lang w:eastAsia="zh-CN"/>
        </w:rPr>
        <w:t xml:space="preserve">, and </w:t>
      </w:r>
      <w:r w:rsidR="00CD062C" w:rsidRPr="007C7956">
        <w:rPr>
          <w:rFonts w:cstheme="minorHAnsi"/>
          <w:sz w:val="16"/>
          <w:szCs w:val="16"/>
        </w:rPr>
        <w:t>also has a carboxyl structure, which is more conducive to eutectic binding. Therefore,</w:t>
      </w:r>
      <w:r w:rsidR="0068370C">
        <w:rPr>
          <w:rFonts w:cstheme="minorHAnsi"/>
          <w:sz w:val="16"/>
          <w:szCs w:val="16"/>
        </w:rPr>
        <w:t xml:space="preserve"> i</w:t>
      </w:r>
      <w:r w:rsidR="00CD062C" w:rsidRPr="007C7956">
        <w:rPr>
          <w:rFonts w:cstheme="minorHAnsi"/>
          <w:sz w:val="16"/>
          <w:szCs w:val="16"/>
        </w:rPr>
        <w:t>t is considered to design a variety of eutectic preparation methods to prepare the co-crystal of donepezil and valsartan. The co-crystal preparation of donepezil and valsartan was carried out by various physicochemical methods to form different eutectic solid states. The</w:t>
      </w:r>
      <w:r w:rsidR="0068370C">
        <w:rPr>
          <w:rFonts w:cstheme="minorHAnsi"/>
          <w:sz w:val="16"/>
          <w:szCs w:val="16"/>
        </w:rPr>
        <w:t xml:space="preserve"> </w:t>
      </w:r>
      <w:r w:rsidR="00CD062C" w:rsidRPr="007C7956">
        <w:rPr>
          <w:rFonts w:cstheme="minorHAnsi"/>
          <w:sz w:val="16"/>
          <w:szCs w:val="16"/>
        </w:rPr>
        <w:t>analysis was</w:t>
      </w:r>
      <w:r w:rsidR="0068370C">
        <w:rPr>
          <w:rFonts w:cstheme="minorHAnsi"/>
          <w:sz w:val="16"/>
          <w:szCs w:val="16"/>
        </w:rPr>
        <w:t xml:space="preserve"> </w:t>
      </w:r>
      <w:r w:rsidR="0068370C" w:rsidRPr="007C7956">
        <w:rPr>
          <w:rFonts w:cstheme="minorHAnsi"/>
          <w:sz w:val="16"/>
          <w:szCs w:val="16"/>
        </w:rPr>
        <w:t>carried out</w:t>
      </w:r>
      <w:r w:rsidR="00CD062C" w:rsidRPr="007C7956">
        <w:rPr>
          <w:rFonts w:cstheme="minorHAnsi"/>
          <w:sz w:val="16"/>
          <w:szCs w:val="16"/>
        </w:rPr>
        <w:t xml:space="preserve"> </w:t>
      </w:r>
      <w:r w:rsidR="0068370C">
        <w:rPr>
          <w:rFonts w:cstheme="minorHAnsi"/>
          <w:sz w:val="16"/>
          <w:szCs w:val="16"/>
        </w:rPr>
        <w:t>not only</w:t>
      </w:r>
      <w:r w:rsidR="00CD062C" w:rsidRPr="007C7956">
        <w:rPr>
          <w:rFonts w:cstheme="minorHAnsi"/>
          <w:sz w:val="16"/>
          <w:szCs w:val="16"/>
        </w:rPr>
        <w:t xml:space="preserve"> by P</w:t>
      </w:r>
      <w:r w:rsidR="0068370C">
        <w:rPr>
          <w:rFonts w:cstheme="minorHAnsi"/>
          <w:sz w:val="16"/>
          <w:szCs w:val="16"/>
        </w:rPr>
        <w:t xml:space="preserve">owder </w:t>
      </w:r>
      <w:r w:rsidR="00CD062C" w:rsidRPr="007C7956">
        <w:rPr>
          <w:rFonts w:cstheme="minorHAnsi"/>
          <w:sz w:val="16"/>
          <w:szCs w:val="16"/>
        </w:rPr>
        <w:t>X</w:t>
      </w:r>
      <w:r w:rsidR="0068370C">
        <w:rPr>
          <w:rFonts w:cstheme="minorHAnsi"/>
          <w:sz w:val="16"/>
          <w:szCs w:val="16"/>
        </w:rPr>
        <w:t xml:space="preserve">-ray </w:t>
      </w:r>
      <w:r w:rsidR="00CD062C" w:rsidRPr="007C7956">
        <w:rPr>
          <w:rFonts w:cstheme="minorHAnsi"/>
          <w:sz w:val="16"/>
          <w:szCs w:val="16"/>
        </w:rPr>
        <w:t>D</w:t>
      </w:r>
      <w:r w:rsidR="0068370C">
        <w:rPr>
          <w:rFonts w:cstheme="minorHAnsi"/>
          <w:sz w:val="16"/>
          <w:szCs w:val="16"/>
        </w:rPr>
        <w:t>iffraction Analysis</w:t>
      </w:r>
      <w:r w:rsidR="00CD062C" w:rsidRPr="007C7956">
        <w:rPr>
          <w:rFonts w:cstheme="minorHAnsi"/>
          <w:sz w:val="16"/>
          <w:szCs w:val="16"/>
        </w:rPr>
        <w:t>,</w:t>
      </w:r>
      <w:r w:rsidR="0068370C">
        <w:rPr>
          <w:rFonts w:cstheme="minorHAnsi"/>
          <w:sz w:val="16"/>
          <w:szCs w:val="16"/>
        </w:rPr>
        <w:t xml:space="preserve"> but also by</w:t>
      </w:r>
      <w:r w:rsidR="00CD062C" w:rsidRPr="007C7956">
        <w:rPr>
          <w:rFonts w:cstheme="minorHAnsi"/>
          <w:sz w:val="16"/>
          <w:szCs w:val="16"/>
        </w:rPr>
        <w:t xml:space="preserve"> </w:t>
      </w:r>
      <w:r w:rsidR="0068370C" w:rsidRPr="007C7956">
        <w:rPr>
          <w:rFonts w:cstheme="minorHAnsi"/>
          <w:sz w:val="16"/>
          <w:szCs w:val="16"/>
        </w:rPr>
        <w:t>DSC</w:t>
      </w:r>
      <w:r w:rsidR="00CD062C" w:rsidRPr="007C7956">
        <w:rPr>
          <w:rFonts w:cstheme="minorHAnsi"/>
          <w:sz w:val="16"/>
          <w:szCs w:val="16"/>
        </w:rPr>
        <w:t xml:space="preserve">, </w:t>
      </w:r>
      <w:r w:rsidR="0068370C" w:rsidRPr="007C7956">
        <w:rPr>
          <w:rFonts w:cstheme="minorHAnsi"/>
          <w:sz w:val="16"/>
          <w:szCs w:val="16"/>
        </w:rPr>
        <w:t>FTIR</w:t>
      </w:r>
      <w:r w:rsidR="00CD062C" w:rsidRPr="007C7956">
        <w:rPr>
          <w:rFonts w:cstheme="minorHAnsi"/>
          <w:sz w:val="16"/>
          <w:szCs w:val="16"/>
        </w:rPr>
        <w:t xml:space="preserve"> and</w:t>
      </w:r>
      <w:r w:rsidR="0068370C" w:rsidRPr="0068370C">
        <w:rPr>
          <w:rFonts w:cstheme="minorHAnsi"/>
          <w:sz w:val="16"/>
          <w:szCs w:val="16"/>
        </w:rPr>
        <w:t xml:space="preserve"> </w:t>
      </w:r>
      <w:r w:rsidR="0068370C" w:rsidRPr="007C7956">
        <w:rPr>
          <w:rFonts w:cstheme="minorHAnsi"/>
          <w:sz w:val="16"/>
          <w:szCs w:val="16"/>
        </w:rPr>
        <w:t>ss-NMR</w:t>
      </w:r>
      <w:r w:rsidR="00CD062C" w:rsidRPr="007C7956">
        <w:rPr>
          <w:rFonts w:cstheme="minorHAnsi"/>
          <w:sz w:val="16"/>
          <w:szCs w:val="16"/>
        </w:rPr>
        <w:t>.</w:t>
      </w:r>
      <w:r w:rsidR="0068370C">
        <w:rPr>
          <w:rFonts w:cstheme="minorHAnsi"/>
          <w:sz w:val="16"/>
          <w:szCs w:val="16"/>
        </w:rPr>
        <w:t xml:space="preserve"> </w:t>
      </w:r>
      <w:r w:rsidR="0068370C" w:rsidRPr="0068370C">
        <w:rPr>
          <w:rFonts w:cstheme="minorHAnsi"/>
          <w:sz w:val="16"/>
          <w:szCs w:val="16"/>
        </w:rPr>
        <w:t xml:space="preserve">The </w:t>
      </w:r>
      <w:r w:rsidR="0068370C">
        <w:rPr>
          <w:rFonts w:cstheme="minorHAnsi"/>
          <w:sz w:val="16"/>
          <w:szCs w:val="16"/>
        </w:rPr>
        <w:t>P</w:t>
      </w:r>
      <w:r w:rsidR="0068370C" w:rsidRPr="0068370C">
        <w:rPr>
          <w:rFonts w:cstheme="minorHAnsi"/>
          <w:sz w:val="16"/>
          <w:szCs w:val="16"/>
        </w:rPr>
        <w:t xml:space="preserve">owder </w:t>
      </w:r>
      <w:r w:rsidR="0068370C" w:rsidRPr="007C7956">
        <w:rPr>
          <w:rFonts w:cstheme="minorHAnsi"/>
          <w:sz w:val="16"/>
          <w:szCs w:val="16"/>
        </w:rPr>
        <w:t>X</w:t>
      </w:r>
      <w:r w:rsidR="0068370C">
        <w:rPr>
          <w:rFonts w:cstheme="minorHAnsi"/>
          <w:sz w:val="16"/>
          <w:szCs w:val="16"/>
        </w:rPr>
        <w:t xml:space="preserve">-ray </w:t>
      </w:r>
      <w:r w:rsidR="0068370C">
        <w:rPr>
          <w:rFonts w:cstheme="minorHAnsi"/>
          <w:sz w:val="16"/>
          <w:szCs w:val="16"/>
        </w:rPr>
        <w:t>D</w:t>
      </w:r>
      <w:r w:rsidR="0068370C" w:rsidRPr="0068370C">
        <w:rPr>
          <w:rFonts w:cstheme="minorHAnsi"/>
          <w:sz w:val="16"/>
          <w:szCs w:val="16"/>
        </w:rPr>
        <w:t xml:space="preserve">iffraction pattern of </w:t>
      </w:r>
      <w:r w:rsidR="0068370C" w:rsidRPr="00CD062C">
        <w:rPr>
          <w:rFonts w:cstheme="minorHAnsi"/>
          <w:sz w:val="16"/>
          <w:szCs w:val="16"/>
        </w:rPr>
        <w:t>Donepezil Valsartan co-crystal</w:t>
      </w:r>
      <w:r w:rsidR="0068370C" w:rsidRPr="0068370C">
        <w:rPr>
          <w:rFonts w:cstheme="minorHAnsi"/>
          <w:sz w:val="16"/>
          <w:szCs w:val="16"/>
        </w:rPr>
        <w:t xml:space="preserve"> </w:t>
      </w:r>
      <w:r w:rsidR="004A5B6D">
        <w:rPr>
          <w:rFonts w:cstheme="minorHAnsi"/>
          <w:sz w:val="16"/>
          <w:szCs w:val="16"/>
        </w:rPr>
        <w:t>show</w:t>
      </w:r>
      <w:r w:rsidR="0068370C" w:rsidRPr="0068370C">
        <w:rPr>
          <w:rFonts w:cstheme="minorHAnsi"/>
          <w:sz w:val="16"/>
          <w:szCs w:val="16"/>
        </w:rPr>
        <w:t xml:space="preserve">s </w:t>
      </w:r>
      <w:r w:rsidR="004A5B6D">
        <w:rPr>
          <w:rFonts w:cstheme="minorHAnsi"/>
          <w:sz w:val="16"/>
          <w:szCs w:val="16"/>
        </w:rPr>
        <w:t xml:space="preserve">that </w:t>
      </w:r>
      <w:r w:rsidR="0068370C">
        <w:rPr>
          <w:rFonts w:cstheme="minorHAnsi"/>
          <w:sz w:val="16"/>
          <w:szCs w:val="16"/>
        </w:rPr>
        <w:t>it</w:t>
      </w:r>
      <w:r w:rsidR="004A5B6D">
        <w:rPr>
          <w:rFonts w:cstheme="minorHAnsi"/>
          <w:sz w:val="16"/>
          <w:szCs w:val="16"/>
        </w:rPr>
        <w:t xml:space="preserve"> has</w:t>
      </w:r>
      <w:r w:rsidR="0068370C" w:rsidRPr="0068370C">
        <w:rPr>
          <w:rFonts w:cstheme="minorHAnsi"/>
          <w:sz w:val="16"/>
          <w:szCs w:val="16"/>
        </w:rPr>
        <w:t xml:space="preserve"> characteristics</w:t>
      </w:r>
      <w:r w:rsidR="0068370C">
        <w:rPr>
          <w:rFonts w:cstheme="minorHAnsi"/>
          <w:sz w:val="16"/>
          <w:szCs w:val="16"/>
        </w:rPr>
        <w:t xml:space="preserve"> </w:t>
      </w:r>
      <w:r w:rsidR="0068370C" w:rsidRPr="0068370C">
        <w:rPr>
          <w:rFonts w:cstheme="minorHAnsi"/>
          <w:sz w:val="16"/>
          <w:szCs w:val="16"/>
        </w:rPr>
        <w:t>more pronounced characteristics than the physical mixture.</w:t>
      </w:r>
      <w:r w:rsidR="0068370C">
        <w:rPr>
          <w:rFonts w:cstheme="minorHAnsi"/>
          <w:sz w:val="16"/>
          <w:szCs w:val="16"/>
        </w:rPr>
        <w:t xml:space="preserve"> </w:t>
      </w:r>
      <w:r w:rsidR="00CD062C" w:rsidRPr="00CD062C">
        <w:rPr>
          <w:rFonts w:cstheme="minorHAnsi"/>
          <w:sz w:val="16"/>
          <w:szCs w:val="16"/>
        </w:rPr>
        <w:t xml:space="preserve">Donepezil Valsartan </w:t>
      </w:r>
      <w:r w:rsidR="0068370C" w:rsidRPr="00CD062C">
        <w:rPr>
          <w:rFonts w:cstheme="minorHAnsi"/>
          <w:sz w:val="16"/>
          <w:szCs w:val="16"/>
        </w:rPr>
        <w:t>co-crystal</w:t>
      </w:r>
      <w:r w:rsidR="0068370C">
        <w:rPr>
          <w:rFonts w:cstheme="minorHAnsi"/>
          <w:sz w:val="16"/>
          <w:szCs w:val="16"/>
        </w:rPr>
        <w:t xml:space="preserve"> sample</w:t>
      </w:r>
      <w:r w:rsidR="00CD062C" w:rsidRPr="00CD062C">
        <w:rPr>
          <w:rFonts w:cstheme="minorHAnsi"/>
          <w:sz w:val="16"/>
          <w:szCs w:val="16"/>
        </w:rPr>
        <w:t xml:space="preserve"> in rats The kinetics of substitutions are much greater than those of physical mixtures and monomers. In the heart failure model induced by isoproterenol hydrochloride, the co-crystal of donepezil Valsartan can effectively improve the heart function and hemodynamics of model rats; while the valsartan control group has left ventricular systolic pressure and left ventricular systolic pressure.</w:t>
      </w:r>
      <w:r w:rsidR="0068370C">
        <w:rPr>
          <w:rFonts w:cstheme="minorHAnsi"/>
          <w:sz w:val="16"/>
          <w:szCs w:val="16"/>
        </w:rPr>
        <w:t xml:space="preserve"> </w:t>
      </w:r>
      <w:r w:rsidR="007C7956" w:rsidRPr="007C7956">
        <w:rPr>
          <w:rFonts w:cstheme="minorHAnsi"/>
          <w:sz w:val="16"/>
          <w:szCs w:val="16"/>
        </w:rPr>
        <w:t>Through examination of heart function and hemodynamic parameters in rats with heart failure, it was demonstrated that the combination of donepezil with valsartan and the formation of a co-amorphous compound not only has a significant effect on the improvement of the above indicators, but also may have associated with sand The use of tannin alone and physical mixtures to improve diastolic function has the potential to be developed as a novel anticoagulant co-crystal drug.</w:t>
      </w:r>
    </w:p>
    <w:p w:rsidR="004A5B6D" w:rsidRDefault="004A5B6D" w:rsidP="00B833AD">
      <w:pPr>
        <w:rPr>
          <w:rFonts w:cstheme="minorHAnsi"/>
          <w:b/>
          <w:color w:val="BF5A14"/>
          <w:sz w:val="16"/>
          <w:szCs w:val="16"/>
        </w:rPr>
      </w:pPr>
    </w:p>
    <w:p w:rsidR="004A5B6D" w:rsidRDefault="004A5B6D" w:rsidP="00B833AD">
      <w:pPr>
        <w:rPr>
          <w:rFonts w:cstheme="minorHAnsi"/>
          <w:b/>
          <w:color w:val="BF5A14"/>
          <w:sz w:val="16"/>
          <w:szCs w:val="16"/>
        </w:rPr>
      </w:pPr>
    </w:p>
    <w:p w:rsidR="004A5B6D" w:rsidRDefault="004A5B6D" w:rsidP="00B833AD">
      <w:pPr>
        <w:rPr>
          <w:rFonts w:cstheme="minorHAnsi"/>
          <w:b/>
          <w:color w:val="BF5A14"/>
          <w:sz w:val="16"/>
          <w:szCs w:val="16"/>
        </w:rPr>
      </w:pPr>
    </w:p>
    <w:p w:rsidR="008E3D38" w:rsidRPr="007E1A75" w:rsidRDefault="00B833AD" w:rsidP="00B833AD">
      <w:pPr>
        <w:rPr>
          <w:rFonts w:cstheme="minorHAnsi" w:hint="eastAsia"/>
          <w:b/>
          <w:noProof/>
          <w:color w:val="BF5A14"/>
          <w:sz w:val="16"/>
          <w:szCs w:val="16"/>
          <w:lang w:eastAsia="zh-CN"/>
        </w:rPr>
      </w:pPr>
      <w:r w:rsidRPr="007E1A75">
        <w:rPr>
          <w:rFonts w:cstheme="minorHAnsi"/>
          <w:b/>
          <w:color w:val="BF5A14"/>
          <w:sz w:val="16"/>
          <w:szCs w:val="16"/>
        </w:rPr>
        <w:t>Image:</w:t>
      </w:r>
      <w:r w:rsidRPr="007E1A75">
        <w:rPr>
          <w:rFonts w:cstheme="minorHAnsi"/>
          <w:b/>
          <w:noProof/>
          <w:sz w:val="16"/>
          <w:szCs w:val="16"/>
        </w:rPr>
        <w:t xml:space="preserve"> </w:t>
      </w:r>
    </w:p>
    <w:p w:rsidR="00B833AD" w:rsidRPr="007E1A75" w:rsidRDefault="004A5B6D" w:rsidP="00B833AD">
      <w:pPr>
        <w:rPr>
          <w:rFonts w:cstheme="minorHAnsi"/>
          <w:b/>
          <w:color w:val="BF5A14"/>
          <w:sz w:val="16"/>
          <w:szCs w:val="16"/>
        </w:rPr>
      </w:pPr>
      <w:r>
        <w:rPr>
          <w:noProof/>
          <w:lang w:eastAsia="zh-CN"/>
        </w:rPr>
        <w:drawing>
          <wp:inline distT="0" distB="0" distL="0" distR="0" wp14:anchorId="6B6A07DB" wp14:editId="35554D23">
            <wp:extent cx="2914064" cy="2335530"/>
            <wp:effectExtent l="0" t="0" r="635" b="76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20140" t="32031" r="37488" b="20561"/>
                    <a:stretch/>
                  </pic:blipFill>
                  <pic:spPr bwMode="auto">
                    <a:xfrm>
                      <a:off x="0" y="0"/>
                      <a:ext cx="2935905" cy="2353035"/>
                    </a:xfrm>
                    <a:prstGeom prst="rect">
                      <a:avLst/>
                    </a:prstGeom>
                    <a:ln>
                      <a:noFill/>
                    </a:ln>
                    <a:extLst>
                      <a:ext uri="{53640926-AAD7-44D8-BBD7-CCE9431645EC}">
                        <a14:shadowObscured xmlns:a14="http://schemas.microsoft.com/office/drawing/2010/main"/>
                      </a:ext>
                    </a:extLst>
                  </pic:spPr>
                </pic:pic>
              </a:graphicData>
            </a:graphic>
          </wp:inline>
        </w:drawing>
      </w:r>
    </w:p>
    <w:p w:rsidR="007E1A75" w:rsidRPr="004A5B6D" w:rsidRDefault="00B833AD" w:rsidP="004A5B6D">
      <w:pPr>
        <w:rPr>
          <w:rFonts w:cstheme="minorHAnsi"/>
          <w:b/>
          <w:color w:val="BF5A14"/>
          <w:sz w:val="16"/>
          <w:szCs w:val="16"/>
        </w:rPr>
      </w:pPr>
      <w:r w:rsidRPr="007E1A75">
        <w:rPr>
          <w:rFonts w:cstheme="minorHAnsi"/>
          <w:b/>
          <w:color w:val="BF5A14"/>
          <w:sz w:val="16"/>
          <w:szCs w:val="16"/>
        </w:rPr>
        <w:t>Recent Publications: (Minimum 5)</w:t>
      </w:r>
    </w:p>
    <w:p w:rsidR="007C7956" w:rsidRPr="007C7956" w:rsidRDefault="007C7956" w:rsidP="007C7956">
      <w:pPr>
        <w:pStyle w:val="TextBody"/>
        <w:spacing w:before="85" w:line="216" w:lineRule="exact"/>
        <w:ind w:left="383" w:right="138" w:hanging="284"/>
        <w:jc w:val="both"/>
        <w:rPr>
          <w:rFonts w:asciiTheme="minorHAnsi" w:hAnsiTheme="minorHAnsi" w:cstheme="minorHAnsi"/>
          <w:sz w:val="16"/>
          <w:szCs w:val="16"/>
        </w:rPr>
      </w:pPr>
      <w:r>
        <w:rPr>
          <w:rFonts w:asciiTheme="minorHAnsi" w:hAnsiTheme="minorHAnsi" w:cstheme="minorHAnsi"/>
          <w:sz w:val="16"/>
          <w:szCs w:val="16"/>
        </w:rPr>
        <w:t xml:space="preserve">1.     </w:t>
      </w:r>
      <w:r w:rsidRPr="007C7956">
        <w:rPr>
          <w:rFonts w:asciiTheme="minorHAnsi" w:hAnsiTheme="minorHAnsi" w:cstheme="minorHAnsi"/>
          <w:sz w:val="16"/>
          <w:szCs w:val="16"/>
        </w:rPr>
        <w:t>OKAZAKI Y, ZHENG C, LI M, et al. Effect of the cholinesterase inhibitor donepezil on cardiac remodeling and autonomic balance in rats with heart failure [J]. The Journal of Physiological Sciences, 2010, 60(1): 67-74.</w:t>
      </w:r>
    </w:p>
    <w:p w:rsidR="007C7956" w:rsidRPr="007C7956" w:rsidRDefault="007C7956" w:rsidP="007C7956">
      <w:pPr>
        <w:pStyle w:val="TextBody"/>
        <w:spacing w:before="85" w:line="216" w:lineRule="exact"/>
        <w:ind w:left="383" w:right="138" w:hanging="284"/>
        <w:jc w:val="both"/>
        <w:rPr>
          <w:rFonts w:asciiTheme="minorHAnsi" w:hAnsiTheme="minorHAnsi" w:cstheme="minorHAnsi"/>
          <w:sz w:val="16"/>
          <w:szCs w:val="16"/>
        </w:rPr>
      </w:pPr>
      <w:r>
        <w:rPr>
          <w:rFonts w:asciiTheme="minorHAnsi" w:hAnsiTheme="minorHAnsi" w:cstheme="minorHAnsi"/>
          <w:sz w:val="16"/>
          <w:szCs w:val="16"/>
        </w:rPr>
        <w:t xml:space="preserve">2.  </w:t>
      </w:r>
      <w:r w:rsidRPr="007C7956">
        <w:rPr>
          <w:rFonts w:asciiTheme="minorHAnsi" w:hAnsiTheme="minorHAnsi" w:cstheme="minorHAnsi"/>
          <w:sz w:val="16"/>
          <w:szCs w:val="16"/>
        </w:rPr>
        <w:t>KAKINUMA Y, AKIYAMA T, SATO T. Cholinoceptive and cholinergic properties of cardiomyocytes involving an amplification mechanism for vagal efferent effects in sparsely innervated ventricular myocardium [J]. The FEBS journal, 2009, 276(18): 5111-25.</w:t>
      </w:r>
    </w:p>
    <w:p w:rsidR="007C7956" w:rsidRPr="007C7956" w:rsidRDefault="007C7956" w:rsidP="007C7956">
      <w:pPr>
        <w:pStyle w:val="TextBody"/>
        <w:spacing w:before="85" w:line="216" w:lineRule="exact"/>
        <w:ind w:left="383" w:right="138" w:hanging="284"/>
        <w:jc w:val="both"/>
        <w:rPr>
          <w:rFonts w:asciiTheme="minorHAnsi" w:hAnsiTheme="minorHAnsi" w:cstheme="minorHAnsi"/>
          <w:sz w:val="16"/>
          <w:szCs w:val="16"/>
        </w:rPr>
      </w:pPr>
      <w:r>
        <w:rPr>
          <w:rFonts w:asciiTheme="minorHAnsi" w:hAnsiTheme="minorHAnsi" w:cstheme="minorHAnsi"/>
          <w:sz w:val="16"/>
          <w:szCs w:val="16"/>
        </w:rPr>
        <w:t xml:space="preserve">3.      </w:t>
      </w:r>
      <w:r w:rsidRPr="007C7956">
        <w:rPr>
          <w:rFonts w:asciiTheme="minorHAnsi" w:hAnsiTheme="minorHAnsi" w:cstheme="minorHAnsi"/>
          <w:sz w:val="16"/>
          <w:szCs w:val="16"/>
        </w:rPr>
        <w:t>HANDA T, KATARE R G, KAKINUMA Y, et al. Anti-Alzheimer's drug, donepezil, markedly improves long-term survival after chronic heart failure in mice [J]. Journal of cardiac failure, 2009, 15(9): 805-11.</w:t>
      </w:r>
    </w:p>
    <w:p w:rsidR="007C7956" w:rsidRPr="007C7956" w:rsidRDefault="007C7956" w:rsidP="007C7956">
      <w:pPr>
        <w:pStyle w:val="TextBody"/>
        <w:spacing w:before="85" w:line="216" w:lineRule="exact"/>
        <w:ind w:left="383" w:right="138" w:hanging="284"/>
        <w:jc w:val="both"/>
        <w:rPr>
          <w:rFonts w:asciiTheme="minorHAnsi" w:hAnsiTheme="minorHAnsi" w:cstheme="minorHAnsi"/>
          <w:sz w:val="16"/>
          <w:szCs w:val="16"/>
        </w:rPr>
      </w:pPr>
      <w:r w:rsidRPr="007C7956">
        <w:rPr>
          <w:rFonts w:asciiTheme="minorHAnsi" w:hAnsiTheme="minorHAnsi" w:cstheme="minorHAnsi"/>
          <w:sz w:val="16"/>
          <w:szCs w:val="16"/>
        </w:rPr>
        <w:t xml:space="preserve"> </w:t>
      </w:r>
      <w:r>
        <w:rPr>
          <w:rFonts w:asciiTheme="minorHAnsi" w:hAnsiTheme="minorHAnsi" w:cstheme="minorHAnsi"/>
          <w:sz w:val="16"/>
          <w:szCs w:val="16"/>
        </w:rPr>
        <w:t xml:space="preserve">4.   </w:t>
      </w:r>
      <w:r w:rsidRPr="007C7956">
        <w:rPr>
          <w:rFonts w:asciiTheme="minorHAnsi" w:hAnsiTheme="minorHAnsi" w:cstheme="minorHAnsi"/>
          <w:sz w:val="16"/>
          <w:szCs w:val="16"/>
        </w:rPr>
        <w:t xml:space="preserve">KUBO T, SATO T, NOGUCHI T, et al. Influences of donepezil on cardiovascular system--possible therapeutic benefits </w:t>
      </w:r>
      <w:r w:rsidRPr="007C7956">
        <w:rPr>
          <w:rFonts w:asciiTheme="minorHAnsi" w:hAnsiTheme="minorHAnsi" w:cstheme="minorHAnsi"/>
          <w:sz w:val="16"/>
          <w:szCs w:val="16"/>
        </w:rPr>
        <w:lastRenderedPageBreak/>
        <w:t>for heart failure--donepezil cardiac test registry (DOCTER) study [J]. Journal of cardiovascular pharmacology, 2012, 60(3): 310-4.</w:t>
      </w:r>
    </w:p>
    <w:p w:rsidR="007C7956" w:rsidRPr="007C7956" w:rsidRDefault="007C7956" w:rsidP="007C7956">
      <w:pPr>
        <w:pStyle w:val="TextBody"/>
        <w:spacing w:before="85" w:line="216" w:lineRule="exact"/>
        <w:ind w:left="383" w:right="138" w:hanging="284"/>
        <w:jc w:val="both"/>
        <w:rPr>
          <w:rFonts w:asciiTheme="minorHAnsi" w:hAnsiTheme="minorHAnsi" w:cstheme="minorHAnsi"/>
          <w:sz w:val="16"/>
          <w:szCs w:val="16"/>
        </w:rPr>
      </w:pPr>
      <w:r>
        <w:rPr>
          <w:rFonts w:asciiTheme="minorHAnsi" w:hAnsiTheme="minorHAnsi" w:cstheme="minorHAnsi"/>
          <w:sz w:val="16"/>
          <w:szCs w:val="16"/>
        </w:rPr>
        <w:t xml:space="preserve">5.   </w:t>
      </w:r>
      <w:r w:rsidRPr="007C7956">
        <w:rPr>
          <w:rFonts w:asciiTheme="minorHAnsi" w:hAnsiTheme="minorHAnsi" w:cstheme="minorHAnsi"/>
          <w:sz w:val="16"/>
          <w:szCs w:val="16"/>
        </w:rPr>
        <w:t>BADAR A A, PEREZ-MORENO A C, HAWKINS N M, et al. Clinical Characteristics and Outcomes of Patients With Coronary Artery Disease and Angina: Analysis of the Irbesartan in Patients With Heart Failure and Preserved Systolic Function Trial [J]. Circulation Heart failure, 2015, 8(4): 717-24.</w:t>
      </w:r>
    </w:p>
    <w:p w:rsidR="007C7956" w:rsidRPr="007C7956" w:rsidRDefault="007C7956" w:rsidP="007C7956">
      <w:pPr>
        <w:pStyle w:val="TextBody"/>
        <w:spacing w:before="85" w:line="216" w:lineRule="exact"/>
        <w:ind w:left="383" w:right="138" w:hanging="284"/>
        <w:jc w:val="both"/>
        <w:rPr>
          <w:rFonts w:asciiTheme="minorHAnsi" w:hAnsiTheme="minorHAnsi" w:cstheme="minorHAnsi"/>
          <w:sz w:val="16"/>
          <w:szCs w:val="16"/>
        </w:rPr>
      </w:pPr>
      <w:r>
        <w:rPr>
          <w:rFonts w:asciiTheme="minorHAnsi" w:hAnsiTheme="minorHAnsi" w:cstheme="minorHAnsi"/>
          <w:sz w:val="16"/>
          <w:szCs w:val="16"/>
        </w:rPr>
        <w:lastRenderedPageBreak/>
        <w:t xml:space="preserve">6.   </w:t>
      </w:r>
      <w:r w:rsidRPr="007C7956">
        <w:rPr>
          <w:rFonts w:asciiTheme="minorHAnsi" w:hAnsiTheme="minorHAnsi" w:cstheme="minorHAnsi"/>
          <w:sz w:val="16"/>
          <w:szCs w:val="16"/>
        </w:rPr>
        <w:t>KAPLAN N M. Angiotensin II-receptor blockers: will they replace angiotensin-converting enzyme inhibitors in the treatment of hypertension? [J]. Journal of human hypertension, 2000, 14(1): S87-90.</w:t>
      </w:r>
    </w:p>
    <w:p w:rsidR="007C7956" w:rsidRPr="007E1A75" w:rsidRDefault="007C7956" w:rsidP="007C7956">
      <w:pPr>
        <w:pStyle w:val="TextBody"/>
        <w:spacing w:before="85" w:line="216" w:lineRule="exact"/>
        <w:ind w:left="383" w:right="138" w:hanging="284"/>
        <w:jc w:val="both"/>
        <w:rPr>
          <w:rFonts w:asciiTheme="minorHAnsi" w:hAnsiTheme="minorHAnsi" w:cstheme="minorHAnsi"/>
          <w:sz w:val="16"/>
          <w:szCs w:val="16"/>
        </w:rPr>
        <w:sectPr w:rsidR="007C7956" w:rsidRPr="007E1A75" w:rsidSect="007E1A75">
          <w:type w:val="continuous"/>
          <w:pgSz w:w="12240" w:h="15840"/>
          <w:pgMar w:top="1440" w:right="1440" w:bottom="1440" w:left="1440" w:header="720" w:footer="720" w:gutter="0"/>
          <w:cols w:num="2" w:space="720"/>
          <w:docGrid w:linePitch="360"/>
        </w:sectPr>
      </w:pPr>
      <w:r>
        <w:rPr>
          <w:rFonts w:asciiTheme="minorHAnsi" w:hAnsiTheme="minorHAnsi" w:cstheme="minorHAnsi"/>
          <w:sz w:val="16"/>
          <w:szCs w:val="16"/>
        </w:rPr>
        <w:t xml:space="preserve">7.  </w:t>
      </w:r>
      <w:r w:rsidRPr="007C7956">
        <w:rPr>
          <w:rFonts w:asciiTheme="minorHAnsi" w:hAnsiTheme="minorHAnsi" w:cstheme="minorHAnsi"/>
          <w:sz w:val="16"/>
          <w:szCs w:val="16"/>
        </w:rPr>
        <w:t>TRONVIK E, STOVNER L J, HELDE G, et al. Prophylactic treatment of migraine with an angiotensin II receptor blocker: a randomized controlled trial [J]. Jama, 2003, 289(1): 65.</w:t>
      </w:r>
    </w:p>
    <w:p w:rsidR="00B833AD" w:rsidRPr="007E1A75" w:rsidRDefault="00B833AD" w:rsidP="00B833AD">
      <w:pPr>
        <w:spacing w:before="90" w:line="278" w:lineRule="auto"/>
        <w:ind w:left="100"/>
        <w:jc w:val="both"/>
        <w:rPr>
          <w:sz w:val="16"/>
          <w:szCs w:val="16"/>
        </w:rPr>
      </w:pPr>
    </w:p>
    <w:p w:rsidR="007E1A75" w:rsidRDefault="007E1A75" w:rsidP="00B833AD">
      <w:pPr>
        <w:spacing w:before="90" w:line="278" w:lineRule="auto"/>
        <w:ind w:left="100"/>
        <w:jc w:val="both"/>
        <w:rPr>
          <w:rFonts w:ascii="Arial" w:hAnsi="Arial"/>
          <w:color w:val="BF5A14"/>
        </w:rPr>
      </w:pPr>
    </w:p>
    <w:p w:rsidR="007E1A75" w:rsidRDefault="00B833AD" w:rsidP="009D74A1">
      <w:pPr>
        <w:spacing w:before="90" w:line="278" w:lineRule="auto"/>
        <w:ind w:left="100"/>
        <w:jc w:val="both"/>
        <w:rPr>
          <w:rFonts w:ascii="Arial" w:hAnsi="Arial"/>
          <w:color w:val="BF5A14"/>
        </w:rPr>
      </w:pPr>
      <w:r>
        <w:rPr>
          <w:rFonts w:ascii="Arial" w:hAnsi="Arial"/>
          <w:color w:val="BF5A14"/>
        </w:rPr>
        <w:t xml:space="preserve">Biography: </w:t>
      </w:r>
      <w:r w:rsidR="007E1A75">
        <w:rPr>
          <w:rFonts w:ascii="Arial" w:hAnsi="Arial"/>
          <w:color w:val="BF5A14"/>
        </w:rPr>
        <w:t>(</w:t>
      </w:r>
      <w:r>
        <w:rPr>
          <w:rFonts w:ascii="Arial" w:hAnsi="Arial"/>
          <w:color w:val="BF5A14"/>
        </w:rPr>
        <w:t>150 words limit</w:t>
      </w:r>
      <w:r w:rsidR="007E1A75">
        <w:rPr>
          <w:rFonts w:ascii="Arial" w:hAnsi="Arial"/>
          <w:color w:val="BF5A14"/>
        </w:rPr>
        <w:t>)</w:t>
      </w:r>
    </w:p>
    <w:p w:rsidR="000627D0" w:rsidRPr="009D74A1" w:rsidRDefault="009D74A1" w:rsidP="000627D0">
      <w:pPr>
        <w:spacing w:before="41" w:line="154" w:lineRule="exact"/>
        <w:ind w:left="213" w:right="231"/>
        <w:jc w:val="both"/>
        <w:rPr>
          <w:rFonts w:ascii="Arial" w:hAnsi="Arial"/>
          <w:sz w:val="14"/>
        </w:rPr>
      </w:pPr>
      <w:r w:rsidRPr="009D74A1">
        <w:rPr>
          <w:rFonts w:ascii="Arial" w:hAnsi="Arial"/>
          <w:sz w:val="14"/>
        </w:rPr>
        <w:t>Ph.D.</w:t>
      </w:r>
      <w:r>
        <w:rPr>
          <w:rFonts w:ascii="Arial" w:hAnsi="Arial"/>
          <w:sz w:val="14"/>
        </w:rPr>
        <w:t xml:space="preserve"> </w:t>
      </w:r>
      <w:r w:rsidRPr="009D74A1">
        <w:rPr>
          <w:rFonts w:ascii="Arial" w:hAnsi="Arial"/>
          <w:sz w:val="14"/>
        </w:rPr>
        <w:t>Du</w:t>
      </w:r>
      <w:r w:rsidRPr="009D74A1">
        <w:rPr>
          <w:rFonts w:ascii="Arial" w:hAnsi="Arial"/>
          <w:sz w:val="14"/>
        </w:rPr>
        <w:t xml:space="preserve"> </w:t>
      </w:r>
      <w:r w:rsidR="000627D0" w:rsidRPr="009D74A1">
        <w:rPr>
          <w:rFonts w:ascii="Arial" w:hAnsi="Arial"/>
          <w:sz w:val="14"/>
        </w:rPr>
        <w:t>Guanhua</w:t>
      </w:r>
      <w:r w:rsidRPr="009D74A1">
        <w:t xml:space="preserve"> </w:t>
      </w:r>
      <w:r>
        <w:rPr>
          <w:rFonts w:ascii="Arial" w:hAnsi="Arial"/>
          <w:sz w:val="14"/>
        </w:rPr>
        <w:t>has his expertise in</w:t>
      </w:r>
      <w:r w:rsidRPr="009D74A1">
        <w:rPr>
          <w:rFonts w:ascii="Arial" w:hAnsi="Arial"/>
          <w:sz w:val="14"/>
        </w:rPr>
        <w:t xml:space="preserve"> drug crystallography research and relationship between drug polymorphism and biological activity</w:t>
      </w:r>
      <w:r>
        <w:rPr>
          <w:rFonts w:ascii="Arial" w:hAnsi="Arial"/>
          <w:sz w:val="14"/>
        </w:rPr>
        <w:t>. He</w:t>
      </w:r>
      <w:r w:rsidR="000627D0" w:rsidRPr="009D74A1">
        <w:rPr>
          <w:rFonts w:ascii="Arial" w:hAnsi="Arial"/>
          <w:sz w:val="14"/>
        </w:rPr>
        <w:t xml:space="preserve"> </w:t>
      </w:r>
      <w:r>
        <w:rPr>
          <w:rFonts w:ascii="Arial" w:hAnsi="Arial" w:hint="eastAsia"/>
          <w:sz w:val="14"/>
          <w:lang w:eastAsia="zh-CN"/>
        </w:rPr>
        <w:t>is</w:t>
      </w:r>
      <w:r>
        <w:rPr>
          <w:rFonts w:ascii="Arial" w:hAnsi="Arial"/>
          <w:sz w:val="14"/>
        </w:rPr>
        <w:t xml:space="preserve"> </w:t>
      </w:r>
      <w:r>
        <w:rPr>
          <w:rFonts w:ascii="Arial" w:hAnsi="Arial" w:hint="eastAsia"/>
          <w:sz w:val="14"/>
          <w:lang w:eastAsia="zh-CN"/>
        </w:rPr>
        <w:t>p</w:t>
      </w:r>
      <w:r>
        <w:rPr>
          <w:rFonts w:ascii="Arial" w:hAnsi="Arial"/>
          <w:sz w:val="14"/>
        </w:rPr>
        <w:t xml:space="preserve">rofessor </w:t>
      </w:r>
      <w:r w:rsidR="000627D0" w:rsidRPr="009D74A1">
        <w:rPr>
          <w:rFonts w:ascii="Arial" w:hAnsi="Arial"/>
          <w:sz w:val="14"/>
        </w:rPr>
        <w:t>of Institute of Materia Medica, Chinese Academy of Medical Sciences &amp; Peking Union Medical College (CAMS &amp; PUMC), Director of National Center for Pharmaceutical Screening</w:t>
      </w:r>
      <w:r>
        <w:rPr>
          <w:rFonts w:ascii="Arial" w:hAnsi="Arial" w:hint="eastAsia"/>
          <w:sz w:val="14"/>
          <w:lang w:eastAsia="zh-CN"/>
        </w:rPr>
        <w:t>.</w:t>
      </w:r>
      <w:r>
        <w:rPr>
          <w:rFonts w:ascii="Arial" w:hAnsi="Arial"/>
          <w:sz w:val="14"/>
          <w:lang w:eastAsia="zh-CN"/>
        </w:rPr>
        <w:t xml:space="preserve"> And he is </w:t>
      </w:r>
      <w:r w:rsidR="000627D0" w:rsidRPr="009D74A1">
        <w:rPr>
          <w:rFonts w:ascii="Arial" w:hAnsi="Arial"/>
          <w:sz w:val="14"/>
        </w:rPr>
        <w:t>President of Chinese Pharmacological Society, Member of Asian West Pacific Pharmacologist Association Executive Committee, Member of Chinese Pharmacopoeia Commission.</w:t>
      </w:r>
    </w:p>
    <w:p w:rsidR="00B833AD" w:rsidRDefault="00B833AD" w:rsidP="00B833AD">
      <w:pPr>
        <w:spacing w:before="90" w:line="278" w:lineRule="auto"/>
        <w:jc w:val="center"/>
        <w:rPr>
          <w:rFonts w:cstheme="minorHAnsi"/>
          <w:color w:val="BF5A14"/>
          <w:sz w:val="16"/>
          <w:szCs w:val="16"/>
        </w:rPr>
      </w:pPr>
      <w:r w:rsidRPr="00B833AD">
        <w:rPr>
          <w:rFonts w:cstheme="minorHAnsi"/>
          <w:sz w:val="16"/>
          <w:szCs w:val="16"/>
        </w:rPr>
        <w:t xml:space="preserve">Email: </w:t>
      </w:r>
      <w:r w:rsidR="009D74A1">
        <w:rPr>
          <w:rFonts w:cstheme="minorHAnsi"/>
          <w:color w:val="BF5A14"/>
          <w:sz w:val="16"/>
          <w:szCs w:val="16"/>
        </w:rPr>
        <w:t>dugh</w:t>
      </w:r>
      <w:r w:rsidRPr="00B833AD">
        <w:rPr>
          <w:rFonts w:cstheme="minorHAnsi"/>
          <w:color w:val="BF5A14"/>
          <w:sz w:val="16"/>
          <w:szCs w:val="16"/>
        </w:rPr>
        <w:t>@</w:t>
      </w:r>
      <w:r w:rsidR="009D74A1">
        <w:rPr>
          <w:rFonts w:cstheme="minorHAnsi"/>
          <w:color w:val="BF5A14"/>
          <w:sz w:val="16"/>
          <w:szCs w:val="16"/>
        </w:rPr>
        <w:t>imm.ac.cn</w:t>
      </w:r>
    </w:p>
    <w:p w:rsidR="00B833AD" w:rsidRPr="00B833AD" w:rsidRDefault="00B833AD" w:rsidP="00B833AD">
      <w:pPr>
        <w:spacing w:before="90" w:line="278" w:lineRule="auto"/>
        <w:jc w:val="center"/>
        <w:rPr>
          <w:rFonts w:cstheme="minorHAnsi"/>
          <w:color w:val="BF5A14"/>
          <w:sz w:val="16"/>
          <w:szCs w:val="16"/>
        </w:rPr>
      </w:pPr>
    </w:p>
    <w:p w:rsidR="00B833AD" w:rsidRDefault="00B833AD" w:rsidP="00B833AD">
      <w:pPr>
        <w:spacing w:before="90" w:line="278" w:lineRule="auto"/>
        <w:ind w:left="100"/>
        <w:jc w:val="both"/>
      </w:pPr>
    </w:p>
    <w:p w:rsidR="00B833AD" w:rsidRPr="00B833AD" w:rsidRDefault="00B833AD" w:rsidP="00B833AD">
      <w:pPr>
        <w:rPr>
          <w:b/>
        </w:rPr>
      </w:pPr>
    </w:p>
    <w:p w:rsidR="00B833AD" w:rsidRPr="00B833AD" w:rsidRDefault="00B833AD" w:rsidP="00B833AD"/>
    <w:p w:rsidR="005E386E" w:rsidRDefault="005E386E" w:rsidP="005E386E">
      <w:pPr>
        <w:pStyle w:val="1"/>
        <w:spacing w:before="170"/>
        <w:ind w:left="0"/>
      </w:pPr>
    </w:p>
    <w:p w:rsidR="007F4A2B" w:rsidRDefault="00F664E7"/>
    <w:sectPr w:rsidR="007F4A2B" w:rsidSect="007E1A7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64E7" w:rsidRDefault="00F664E7" w:rsidP="007E1A75">
      <w:pPr>
        <w:spacing w:after="0" w:line="240" w:lineRule="auto"/>
      </w:pPr>
      <w:r>
        <w:separator/>
      </w:r>
    </w:p>
  </w:endnote>
  <w:endnote w:type="continuationSeparator" w:id="0">
    <w:p w:rsidR="00F664E7" w:rsidRDefault="00F664E7" w:rsidP="007E1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Minion Pro">
    <w:altName w:val="Times New Roman"/>
    <w:charset w:val="00"/>
    <w:family w:val="roman"/>
    <w:pitch w:val="variable"/>
  </w:font>
  <w:font w:name="Cambria">
    <w:panose1 w:val="02040503050406030204"/>
    <w:charset w:val="00"/>
    <w:family w:val="roman"/>
    <w:pitch w:val="variable"/>
    <w:sig w:usb0="A00002EF" w:usb1="4000004B" w:usb2="00000000" w:usb3="00000000" w:csb0="000000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64E7" w:rsidRDefault="00F664E7" w:rsidP="007E1A75">
      <w:pPr>
        <w:spacing w:after="0" w:line="240" w:lineRule="auto"/>
      </w:pPr>
      <w:r>
        <w:separator/>
      </w:r>
    </w:p>
  </w:footnote>
  <w:footnote w:type="continuationSeparator" w:id="0">
    <w:p w:rsidR="00F664E7" w:rsidRDefault="00F664E7" w:rsidP="007E1A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961B42"/>
    <w:multiLevelType w:val="multilevel"/>
    <w:tmpl w:val="D06AEFA8"/>
    <w:lvl w:ilvl="0">
      <w:start w:val="1"/>
      <w:numFmt w:val="decimal"/>
      <w:lvlText w:val="%1."/>
      <w:lvlJc w:val="left"/>
      <w:pPr>
        <w:ind w:left="383" w:hanging="284"/>
      </w:pPr>
      <w:rPr>
        <w:rFonts w:eastAsia="Calibri" w:cs="Calibri"/>
        <w:spacing w:val="0"/>
        <w:w w:val="100"/>
        <w:sz w:val="18"/>
        <w:szCs w:val="18"/>
      </w:rPr>
    </w:lvl>
    <w:lvl w:ilvl="1">
      <w:start w:val="1"/>
      <w:numFmt w:val="bullet"/>
      <w:lvlText w:val=""/>
      <w:lvlJc w:val="left"/>
      <w:pPr>
        <w:ind w:left="877" w:hanging="284"/>
      </w:pPr>
      <w:rPr>
        <w:rFonts w:ascii="Symbol" w:hAnsi="Symbol" w:cs="Symbol" w:hint="default"/>
      </w:rPr>
    </w:lvl>
    <w:lvl w:ilvl="2">
      <w:start w:val="1"/>
      <w:numFmt w:val="bullet"/>
      <w:lvlText w:val=""/>
      <w:lvlJc w:val="left"/>
      <w:pPr>
        <w:ind w:left="1374" w:hanging="284"/>
      </w:pPr>
      <w:rPr>
        <w:rFonts w:ascii="Symbol" w:hAnsi="Symbol" w:cs="Symbol" w:hint="default"/>
      </w:rPr>
    </w:lvl>
    <w:lvl w:ilvl="3">
      <w:start w:val="1"/>
      <w:numFmt w:val="bullet"/>
      <w:lvlText w:val=""/>
      <w:lvlJc w:val="left"/>
      <w:pPr>
        <w:ind w:left="1871" w:hanging="284"/>
      </w:pPr>
      <w:rPr>
        <w:rFonts w:ascii="Symbol" w:hAnsi="Symbol" w:cs="Symbol" w:hint="default"/>
      </w:rPr>
    </w:lvl>
    <w:lvl w:ilvl="4">
      <w:start w:val="1"/>
      <w:numFmt w:val="bullet"/>
      <w:lvlText w:val=""/>
      <w:lvlJc w:val="left"/>
      <w:pPr>
        <w:ind w:left="2369" w:hanging="284"/>
      </w:pPr>
      <w:rPr>
        <w:rFonts w:ascii="Symbol" w:hAnsi="Symbol" w:cs="Symbol" w:hint="default"/>
      </w:rPr>
    </w:lvl>
    <w:lvl w:ilvl="5">
      <w:start w:val="1"/>
      <w:numFmt w:val="bullet"/>
      <w:lvlText w:val=""/>
      <w:lvlJc w:val="left"/>
      <w:pPr>
        <w:ind w:left="2866" w:hanging="284"/>
      </w:pPr>
      <w:rPr>
        <w:rFonts w:ascii="Symbol" w:hAnsi="Symbol" w:cs="Symbol" w:hint="default"/>
      </w:rPr>
    </w:lvl>
    <w:lvl w:ilvl="6">
      <w:start w:val="1"/>
      <w:numFmt w:val="bullet"/>
      <w:lvlText w:val=""/>
      <w:lvlJc w:val="left"/>
      <w:pPr>
        <w:ind w:left="3363" w:hanging="284"/>
      </w:pPr>
      <w:rPr>
        <w:rFonts w:ascii="Symbol" w:hAnsi="Symbol" w:cs="Symbol" w:hint="default"/>
      </w:rPr>
    </w:lvl>
    <w:lvl w:ilvl="7">
      <w:start w:val="1"/>
      <w:numFmt w:val="bullet"/>
      <w:lvlText w:val=""/>
      <w:lvlJc w:val="left"/>
      <w:pPr>
        <w:ind w:left="3860" w:hanging="284"/>
      </w:pPr>
      <w:rPr>
        <w:rFonts w:ascii="Symbol" w:hAnsi="Symbol" w:cs="Symbol" w:hint="default"/>
      </w:rPr>
    </w:lvl>
    <w:lvl w:ilvl="8">
      <w:start w:val="1"/>
      <w:numFmt w:val="bullet"/>
      <w:lvlText w:val=""/>
      <w:lvlJc w:val="left"/>
      <w:pPr>
        <w:ind w:left="4358" w:hanging="284"/>
      </w:pPr>
      <w:rPr>
        <w:rFonts w:ascii="Symbol" w:hAnsi="Symbol" w:cs="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E66"/>
    <w:rsid w:val="000627D0"/>
    <w:rsid w:val="002A2E66"/>
    <w:rsid w:val="004A5B6D"/>
    <w:rsid w:val="005E386E"/>
    <w:rsid w:val="0068370C"/>
    <w:rsid w:val="007406F5"/>
    <w:rsid w:val="007B53FE"/>
    <w:rsid w:val="007C7956"/>
    <w:rsid w:val="007E1A75"/>
    <w:rsid w:val="008206EC"/>
    <w:rsid w:val="00875622"/>
    <w:rsid w:val="008E3D38"/>
    <w:rsid w:val="009217C1"/>
    <w:rsid w:val="009257BB"/>
    <w:rsid w:val="009D74A1"/>
    <w:rsid w:val="00B37006"/>
    <w:rsid w:val="00B833AD"/>
    <w:rsid w:val="00C636C6"/>
    <w:rsid w:val="00CD062C"/>
    <w:rsid w:val="00DA6DE1"/>
    <w:rsid w:val="00F60D3E"/>
    <w:rsid w:val="00F664E7"/>
    <w:rsid w:val="00F916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41CD12"/>
  <w15:docId w15:val="{DF0AE195-8A23-4523-A2AF-AC8EFB870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1"/>
    <w:qFormat/>
    <w:rsid w:val="005E386E"/>
    <w:pPr>
      <w:spacing w:before="47" w:after="0" w:line="400" w:lineRule="exact"/>
      <w:ind w:left="100"/>
      <w:outlineLvl w:val="0"/>
    </w:pPr>
    <w:rPr>
      <w:rFonts w:ascii="Minion Pro" w:eastAsia="Minion Pro" w:hAnsi="Minion Pro" w:cs="Minion Pro"/>
      <w:b/>
      <w:bCs/>
      <w:sz w:val="36"/>
      <w:szCs w:val="36"/>
    </w:rPr>
  </w:style>
  <w:style w:type="paragraph" w:styleId="3">
    <w:name w:val="heading 3"/>
    <w:basedOn w:val="a"/>
    <w:next w:val="a"/>
    <w:link w:val="30"/>
    <w:uiPriority w:val="9"/>
    <w:semiHidden/>
    <w:unhideWhenUsed/>
    <w:qFormat/>
    <w:rsid w:val="00B833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1"/>
    <w:rsid w:val="005E386E"/>
    <w:rPr>
      <w:rFonts w:ascii="Minion Pro" w:eastAsia="Minion Pro" w:hAnsi="Minion Pro" w:cs="Minion Pro"/>
      <w:b/>
      <w:bCs/>
      <w:sz w:val="36"/>
      <w:szCs w:val="36"/>
    </w:rPr>
  </w:style>
  <w:style w:type="character" w:customStyle="1" w:styleId="BodyTextChar">
    <w:name w:val="Body Text Char"/>
    <w:basedOn w:val="a0"/>
    <w:link w:val="TextBody"/>
    <w:uiPriority w:val="1"/>
    <w:qFormat/>
    <w:rsid w:val="005E386E"/>
    <w:rPr>
      <w:rFonts w:ascii="Tw Cen MT" w:eastAsia="Tw Cen MT" w:hAnsi="Tw Cen MT" w:cs="Tw Cen MT"/>
      <w:sz w:val="18"/>
      <w:szCs w:val="18"/>
    </w:rPr>
  </w:style>
  <w:style w:type="paragraph" w:customStyle="1" w:styleId="TextBody">
    <w:name w:val="Text Body"/>
    <w:basedOn w:val="a"/>
    <w:link w:val="BodyTextChar"/>
    <w:uiPriority w:val="1"/>
    <w:qFormat/>
    <w:rsid w:val="005E386E"/>
    <w:pPr>
      <w:spacing w:after="0" w:line="240" w:lineRule="auto"/>
    </w:pPr>
    <w:rPr>
      <w:rFonts w:ascii="Tw Cen MT" w:eastAsia="Tw Cen MT" w:hAnsi="Tw Cen MT" w:cs="Tw Cen MT"/>
      <w:sz w:val="18"/>
      <w:szCs w:val="18"/>
    </w:rPr>
  </w:style>
  <w:style w:type="character" w:customStyle="1" w:styleId="30">
    <w:name w:val="标题 3 字符"/>
    <w:basedOn w:val="a0"/>
    <w:link w:val="3"/>
    <w:uiPriority w:val="9"/>
    <w:semiHidden/>
    <w:rsid w:val="00B833AD"/>
    <w:rPr>
      <w:rFonts w:asciiTheme="majorHAnsi" w:eastAsiaTheme="majorEastAsia" w:hAnsiTheme="majorHAnsi" w:cstheme="majorBidi"/>
      <w:b/>
      <w:bCs/>
      <w:color w:val="4F81BD" w:themeColor="accent1"/>
    </w:rPr>
  </w:style>
  <w:style w:type="character" w:styleId="a3">
    <w:name w:val="Emphasis"/>
    <w:qFormat/>
    <w:rsid w:val="00B833AD"/>
    <w:rPr>
      <w:i/>
      <w:iCs/>
    </w:rPr>
  </w:style>
  <w:style w:type="character" w:customStyle="1" w:styleId="StrongEmphasis">
    <w:name w:val="Strong Emphasis"/>
    <w:rsid w:val="00B833AD"/>
    <w:rPr>
      <w:b/>
      <w:bCs/>
    </w:rPr>
  </w:style>
  <w:style w:type="paragraph" w:styleId="a4">
    <w:name w:val="List Paragraph"/>
    <w:basedOn w:val="a"/>
    <w:uiPriority w:val="1"/>
    <w:qFormat/>
    <w:rsid w:val="00B833AD"/>
    <w:pPr>
      <w:spacing w:before="90" w:after="0" w:line="200" w:lineRule="exact"/>
      <w:ind w:left="383" w:hanging="283"/>
      <w:jc w:val="both"/>
    </w:pPr>
    <w:rPr>
      <w:rFonts w:ascii="Calibri" w:eastAsia="Calibri" w:hAnsi="Calibri" w:cs="Calibri"/>
    </w:rPr>
  </w:style>
  <w:style w:type="paragraph" w:styleId="a5">
    <w:name w:val="Balloon Text"/>
    <w:basedOn w:val="a"/>
    <w:link w:val="a6"/>
    <w:uiPriority w:val="99"/>
    <w:semiHidden/>
    <w:unhideWhenUsed/>
    <w:rsid w:val="00B833AD"/>
    <w:pPr>
      <w:spacing w:after="0" w:line="240" w:lineRule="auto"/>
    </w:pPr>
    <w:rPr>
      <w:rFonts w:ascii="Tahoma" w:hAnsi="Tahoma" w:cs="Tahoma"/>
      <w:sz w:val="16"/>
      <w:szCs w:val="16"/>
    </w:rPr>
  </w:style>
  <w:style w:type="character" w:customStyle="1" w:styleId="a6">
    <w:name w:val="批注框文本 字符"/>
    <w:basedOn w:val="a0"/>
    <w:link w:val="a5"/>
    <w:uiPriority w:val="99"/>
    <w:semiHidden/>
    <w:rsid w:val="00B833AD"/>
    <w:rPr>
      <w:rFonts w:ascii="Tahoma" w:hAnsi="Tahoma" w:cs="Tahoma"/>
      <w:sz w:val="16"/>
      <w:szCs w:val="16"/>
    </w:rPr>
  </w:style>
  <w:style w:type="paragraph" w:styleId="a7">
    <w:name w:val="header"/>
    <w:basedOn w:val="a"/>
    <w:link w:val="a8"/>
    <w:uiPriority w:val="99"/>
    <w:unhideWhenUsed/>
    <w:rsid w:val="007E1A75"/>
    <w:pPr>
      <w:tabs>
        <w:tab w:val="center" w:pos="4680"/>
        <w:tab w:val="right" w:pos="9360"/>
      </w:tabs>
      <w:spacing w:after="0" w:line="240" w:lineRule="auto"/>
    </w:pPr>
  </w:style>
  <w:style w:type="character" w:customStyle="1" w:styleId="a8">
    <w:name w:val="页眉 字符"/>
    <w:basedOn w:val="a0"/>
    <w:link w:val="a7"/>
    <w:uiPriority w:val="99"/>
    <w:rsid w:val="007E1A75"/>
  </w:style>
  <w:style w:type="paragraph" w:styleId="a9">
    <w:name w:val="footer"/>
    <w:basedOn w:val="a"/>
    <w:link w:val="aa"/>
    <w:uiPriority w:val="99"/>
    <w:unhideWhenUsed/>
    <w:rsid w:val="007E1A75"/>
    <w:pPr>
      <w:tabs>
        <w:tab w:val="center" w:pos="4680"/>
        <w:tab w:val="right" w:pos="9360"/>
      </w:tabs>
      <w:spacing w:after="0" w:line="240" w:lineRule="auto"/>
    </w:pPr>
  </w:style>
  <w:style w:type="character" w:customStyle="1" w:styleId="aa">
    <w:name w:val="页脚 字符"/>
    <w:basedOn w:val="a0"/>
    <w:link w:val="a9"/>
    <w:uiPriority w:val="99"/>
    <w:rsid w:val="007E1A75"/>
  </w:style>
  <w:style w:type="paragraph" w:customStyle="1" w:styleId="Papertitle">
    <w:name w:val="Paper title"/>
    <w:basedOn w:val="a"/>
    <w:next w:val="a"/>
    <w:rsid w:val="009217C1"/>
    <w:pPr>
      <w:tabs>
        <w:tab w:val="left" w:pos="4706"/>
      </w:tabs>
      <w:suppressAutoHyphens/>
      <w:overflowPunct w:val="0"/>
      <w:autoSpaceDE w:val="0"/>
      <w:autoSpaceDN w:val="0"/>
      <w:adjustRightInd w:val="0"/>
      <w:spacing w:before="120" w:after="120" w:line="240" w:lineRule="auto"/>
      <w:textAlignment w:val="baseline"/>
    </w:pPr>
    <w:rPr>
      <w:rFonts w:ascii="Arial" w:eastAsia="Times New Roman" w:hAnsi="Arial" w:cs="Arial"/>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379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731</Words>
  <Characters>4173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 BioFuels</dc:creator>
  <cp:keywords/>
  <dc:description/>
  <cp:lastModifiedBy>张丽</cp:lastModifiedBy>
  <cp:revision>2</cp:revision>
  <dcterms:created xsi:type="dcterms:W3CDTF">2019-02-12T15:04:00Z</dcterms:created>
  <dcterms:modified xsi:type="dcterms:W3CDTF">2019-02-12T15:04:00Z</dcterms:modified>
</cp:coreProperties>
</file>