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86E" w:rsidRDefault="00197231" w:rsidP="005E386E">
      <w:pPr>
        <w:pStyle w:val="berschrift1"/>
        <w:spacing w:before="170"/>
        <w:ind w:left="0"/>
        <w:rPr>
          <w:color w:val="337AB7"/>
        </w:rPr>
      </w:pPr>
      <w:r>
        <w:rPr>
          <w:color w:val="337AB7"/>
        </w:rPr>
        <w:t>Identification</w:t>
      </w:r>
      <w:r w:rsidRPr="00197231">
        <w:rPr>
          <w:color w:val="337AB7"/>
        </w:rPr>
        <w:t xml:space="preserve"> of the Defect Clusters in Congruent Lithium Tantalate</w:t>
      </w:r>
    </w:p>
    <w:p w:rsidR="00197231" w:rsidRDefault="00197231" w:rsidP="005E386E">
      <w:pPr>
        <w:pStyle w:val="TextBody"/>
        <w:spacing w:before="73" w:line="198" w:lineRule="exact"/>
        <w:ind w:left="100" w:right="5987"/>
        <w:rPr>
          <w:rFonts w:ascii="Arial" w:hAnsi="Arial"/>
        </w:rPr>
      </w:pPr>
      <w:r w:rsidRPr="00197231">
        <w:rPr>
          <w:rFonts w:ascii="Arial" w:hAnsi="Arial"/>
        </w:rPr>
        <w:t xml:space="preserve">Anastasia Vyalikh, </w:t>
      </w:r>
      <w:r>
        <w:rPr>
          <w:rFonts w:ascii="Arial" w:hAnsi="Arial"/>
        </w:rPr>
        <w:t>PhD</w:t>
      </w:r>
    </w:p>
    <w:p w:rsidR="00197231" w:rsidRDefault="00197231" w:rsidP="005E386E">
      <w:pPr>
        <w:pStyle w:val="TextBody"/>
        <w:spacing w:before="73" w:line="198" w:lineRule="exact"/>
        <w:ind w:left="100" w:right="5987"/>
        <w:rPr>
          <w:rFonts w:ascii="Arial" w:hAnsi="Arial"/>
        </w:rPr>
      </w:pPr>
      <w:r w:rsidRPr="00197231">
        <w:rPr>
          <w:rFonts w:ascii="Arial" w:hAnsi="Arial"/>
        </w:rPr>
        <w:t>Matthias Zschornak,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>PhD</w:t>
      </w:r>
    </w:p>
    <w:p w:rsidR="00197231" w:rsidRDefault="00197231" w:rsidP="005E386E">
      <w:pPr>
        <w:pStyle w:val="TextBody"/>
        <w:spacing w:before="73" w:line="198" w:lineRule="exact"/>
        <w:ind w:left="100" w:right="5987"/>
        <w:rPr>
          <w:rFonts w:ascii="Arial" w:hAnsi="Arial"/>
        </w:rPr>
      </w:pPr>
      <w:r w:rsidRPr="00197231">
        <w:rPr>
          <w:rFonts w:ascii="Arial" w:hAnsi="Arial"/>
        </w:rPr>
        <w:t>Thomas Köhler,</w:t>
      </w:r>
      <w:r>
        <w:rPr>
          <w:rFonts w:ascii="Arial" w:hAnsi="Arial"/>
        </w:rPr>
        <w:t xml:space="preserve"> DSc</w:t>
      </w:r>
    </w:p>
    <w:p w:rsidR="00197231" w:rsidRDefault="00197231" w:rsidP="005E386E">
      <w:pPr>
        <w:pStyle w:val="TextBody"/>
        <w:spacing w:before="73" w:line="198" w:lineRule="exact"/>
        <w:ind w:left="100" w:right="5987"/>
        <w:rPr>
          <w:rFonts w:ascii="Arial" w:hAnsi="Arial"/>
        </w:rPr>
      </w:pPr>
      <w:r w:rsidRPr="00197231">
        <w:rPr>
          <w:rFonts w:ascii="Arial" w:hAnsi="Arial"/>
        </w:rPr>
        <w:t xml:space="preserve">Melanie Nentwich, </w:t>
      </w:r>
      <w:r>
        <w:rPr>
          <w:rFonts w:ascii="Arial" w:hAnsi="Arial"/>
        </w:rPr>
        <w:t>DSc</w:t>
      </w:r>
    </w:p>
    <w:p w:rsidR="00197231" w:rsidRDefault="00197231" w:rsidP="005E386E">
      <w:pPr>
        <w:pStyle w:val="TextBody"/>
        <w:spacing w:before="73" w:line="198" w:lineRule="exact"/>
        <w:ind w:left="100" w:right="5987"/>
        <w:rPr>
          <w:rFonts w:ascii="Arial" w:hAnsi="Arial"/>
        </w:rPr>
      </w:pPr>
      <w:r w:rsidRPr="00197231">
        <w:rPr>
          <w:rFonts w:ascii="Arial" w:hAnsi="Arial"/>
        </w:rPr>
        <w:t>Dirk C. Meyer</w:t>
      </w:r>
      <w:r w:rsidR="005E386E">
        <w:rPr>
          <w:rFonts w:ascii="Arial" w:hAnsi="Arial"/>
        </w:rPr>
        <w:t>,</w:t>
      </w:r>
      <w:r>
        <w:rPr>
          <w:rFonts w:ascii="Arial" w:hAnsi="Arial"/>
        </w:rPr>
        <w:t xml:space="preserve"> PhD, Prof.</w:t>
      </w:r>
    </w:p>
    <w:p w:rsidR="005E386E" w:rsidRDefault="00197231" w:rsidP="005E386E">
      <w:pPr>
        <w:pStyle w:val="TextBody"/>
        <w:spacing w:before="73" w:line="198" w:lineRule="exact"/>
        <w:ind w:left="100" w:right="5987"/>
      </w:pPr>
      <w:r>
        <w:rPr>
          <w:rFonts w:ascii="Arial" w:hAnsi="Arial"/>
        </w:rPr>
        <w:t>Institute of Experimental</w:t>
      </w:r>
      <w:r w:rsidRPr="00197231">
        <w:rPr>
          <w:rFonts w:ascii="Arial" w:hAnsi="Arial"/>
        </w:rPr>
        <w:t xml:space="preserve"> Physi</w:t>
      </w:r>
      <w:r>
        <w:rPr>
          <w:rFonts w:ascii="Arial" w:hAnsi="Arial"/>
        </w:rPr>
        <w:t>cs</w:t>
      </w:r>
      <w:r w:rsidRPr="00197231">
        <w:rPr>
          <w:rFonts w:ascii="Arial" w:hAnsi="Arial"/>
        </w:rPr>
        <w:t>, T</w:t>
      </w:r>
      <w:r>
        <w:rPr>
          <w:rFonts w:ascii="Arial" w:hAnsi="Arial"/>
        </w:rPr>
        <w:t>U B</w:t>
      </w:r>
      <w:r w:rsidRPr="00197231">
        <w:rPr>
          <w:rFonts w:ascii="Arial" w:hAnsi="Arial"/>
        </w:rPr>
        <w:t>ergakademie Freiberg</w:t>
      </w:r>
      <w:r>
        <w:rPr>
          <w:rFonts w:ascii="Arial" w:hAnsi="Arial"/>
        </w:rPr>
        <w:t>, Freiberg, GERMANY</w:t>
      </w:r>
    </w:p>
    <w:p w:rsidR="007E1A75" w:rsidRDefault="007E1A75" w:rsidP="00B833AD">
      <w:pPr>
        <w:pStyle w:val="berschrift3"/>
        <w:spacing w:before="147"/>
        <w:jc w:val="both"/>
        <w:rPr>
          <w:color w:val="BF5A14"/>
        </w:rPr>
        <w:sectPr w:rsidR="007E1A7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B833AD" w:rsidRPr="007E1A75" w:rsidRDefault="00B833AD" w:rsidP="00B833AD">
      <w:pPr>
        <w:pStyle w:val="berschrift3"/>
        <w:spacing w:before="147"/>
        <w:jc w:val="both"/>
        <w:rPr>
          <w:rFonts w:asciiTheme="minorHAnsi" w:hAnsiTheme="minorHAnsi" w:cstheme="minorHAnsi"/>
          <w:color w:val="BF5A14"/>
          <w:sz w:val="16"/>
          <w:szCs w:val="16"/>
        </w:rPr>
      </w:pPr>
      <w:r w:rsidRPr="007E1A75">
        <w:rPr>
          <w:rFonts w:asciiTheme="minorHAnsi" w:hAnsiTheme="minorHAnsi" w:cstheme="minorHAnsi"/>
          <w:color w:val="BF5A14"/>
          <w:sz w:val="16"/>
          <w:szCs w:val="16"/>
        </w:rPr>
        <w:t xml:space="preserve">Abstract: </w:t>
      </w:r>
    </w:p>
    <w:p w:rsidR="00B833AD" w:rsidRPr="007E1A75" w:rsidRDefault="009D6A77" w:rsidP="00E01338">
      <w:pPr>
        <w:spacing w:before="90" w:line="278" w:lineRule="auto"/>
        <w:ind w:left="100"/>
        <w:jc w:val="both"/>
        <w:rPr>
          <w:rFonts w:cstheme="minorHAnsi"/>
          <w:sz w:val="16"/>
          <w:szCs w:val="16"/>
        </w:rPr>
      </w:pPr>
      <w:r w:rsidRPr="009D6A77">
        <w:rPr>
          <w:rFonts w:cstheme="minorHAnsi"/>
          <w:sz w:val="16"/>
          <w:szCs w:val="16"/>
        </w:rPr>
        <w:t>The combination of the extraordinary physical properties of lithium tantalate LiTaO</w:t>
      </w:r>
      <w:r w:rsidRPr="009D6A77">
        <w:rPr>
          <w:rFonts w:cstheme="minorHAnsi"/>
          <w:sz w:val="16"/>
          <w:szCs w:val="16"/>
          <w:vertAlign w:val="subscript"/>
        </w:rPr>
        <w:t>3</w:t>
      </w:r>
      <w:r w:rsidRPr="009D6A77">
        <w:rPr>
          <w:rFonts w:cstheme="minorHAnsi"/>
          <w:sz w:val="16"/>
          <w:szCs w:val="16"/>
        </w:rPr>
        <w:t xml:space="preserve"> (LT) offers a great potential for applications in </w:t>
      </w:r>
      <w:r w:rsidR="00263112">
        <w:rPr>
          <w:rFonts w:cstheme="minorHAnsi"/>
          <w:sz w:val="16"/>
          <w:szCs w:val="16"/>
        </w:rPr>
        <w:t xml:space="preserve">modern optics and photovoltaics. A large fraction of such applications is based </w:t>
      </w:r>
      <w:r w:rsidR="00263112" w:rsidRPr="00197231">
        <w:rPr>
          <w:rFonts w:cstheme="minorHAnsi"/>
          <w:sz w:val="16"/>
          <w:szCs w:val="16"/>
        </w:rPr>
        <w:t>the defect chemistry</w:t>
      </w:r>
      <w:r w:rsidR="00263112">
        <w:rPr>
          <w:rFonts w:cstheme="minorHAnsi"/>
          <w:sz w:val="16"/>
          <w:szCs w:val="16"/>
        </w:rPr>
        <w:t>.</w:t>
      </w:r>
      <w:r w:rsidR="00263112">
        <w:rPr>
          <w:rFonts w:cstheme="minorHAnsi"/>
          <w:sz w:val="16"/>
          <w:szCs w:val="16"/>
          <w:lang w:val="en-GB"/>
        </w:rPr>
        <w:t xml:space="preserve"> </w:t>
      </w:r>
      <w:r w:rsidRPr="009D6A77">
        <w:rPr>
          <w:rFonts w:cstheme="minorHAnsi"/>
          <w:sz w:val="16"/>
          <w:szCs w:val="16"/>
          <w:lang w:val="en-GB"/>
        </w:rPr>
        <w:t>The congruently grown composition</w:t>
      </w:r>
      <w:r w:rsidR="00263112">
        <w:rPr>
          <w:rFonts w:cstheme="minorHAnsi"/>
          <w:sz w:val="16"/>
          <w:szCs w:val="16"/>
          <w:lang w:val="en-GB"/>
        </w:rPr>
        <w:t xml:space="preserve"> </w:t>
      </w:r>
      <w:r w:rsidR="00CF1C35">
        <w:rPr>
          <w:rFonts w:cstheme="minorHAnsi"/>
          <w:sz w:val="16"/>
          <w:szCs w:val="16"/>
          <w:lang w:val="en-GB"/>
        </w:rPr>
        <w:t xml:space="preserve">of LT </w:t>
      </w:r>
      <w:r w:rsidR="00263112">
        <w:rPr>
          <w:rFonts w:cstheme="minorHAnsi"/>
          <w:sz w:val="16"/>
          <w:szCs w:val="16"/>
          <w:lang w:val="en-GB"/>
        </w:rPr>
        <w:t xml:space="preserve">using the </w:t>
      </w:r>
      <w:r w:rsidR="00263112" w:rsidRPr="009D6A77">
        <w:rPr>
          <w:rFonts w:cstheme="minorHAnsi"/>
          <w:sz w:val="16"/>
          <w:szCs w:val="16"/>
        </w:rPr>
        <w:t>Czochralsky method</w:t>
      </w:r>
      <w:r w:rsidRPr="009D6A77">
        <w:rPr>
          <w:rFonts w:cstheme="minorHAnsi"/>
          <w:sz w:val="16"/>
          <w:szCs w:val="16"/>
          <w:lang w:val="en-GB"/>
        </w:rPr>
        <w:t xml:space="preserve"> yields the cation concentration ratios of [Li]/[Ta]=48.75/51.25. Li deficiency suggests several possible configurations of a defect cluster in congruent crystals, which guarantee charge neutrality. </w:t>
      </w:r>
      <w:r w:rsidRPr="009D6A77">
        <w:rPr>
          <w:rFonts w:cstheme="minorHAnsi"/>
          <w:sz w:val="16"/>
          <w:szCs w:val="16"/>
        </w:rPr>
        <w:t xml:space="preserve">Several intrinsic defect models have been considered in literature over several decades. </w:t>
      </w:r>
      <w:r w:rsidR="00197231" w:rsidRPr="00197231">
        <w:rPr>
          <w:rFonts w:cstheme="minorHAnsi"/>
          <w:sz w:val="16"/>
          <w:szCs w:val="16"/>
        </w:rPr>
        <w:t xml:space="preserve">Here, using a combinational approach based on DFT and solid-state NMR, we demonstrate that distribution of electric field gradients (EFGs) </w:t>
      </w:r>
      <w:r w:rsidR="00E01338">
        <w:rPr>
          <w:rFonts w:cstheme="minorHAnsi"/>
          <w:sz w:val="16"/>
          <w:szCs w:val="16"/>
        </w:rPr>
        <w:t xml:space="preserve">on a </w:t>
      </w:r>
      <w:r w:rsidR="00E01338" w:rsidRPr="00E01338">
        <w:rPr>
          <w:rFonts w:cstheme="minorHAnsi"/>
          <w:sz w:val="16"/>
          <w:szCs w:val="16"/>
          <w:vertAlign w:val="superscript"/>
        </w:rPr>
        <w:t>7</w:t>
      </w:r>
      <w:r w:rsidR="00E01338" w:rsidRPr="00197231">
        <w:rPr>
          <w:rFonts w:cstheme="minorHAnsi"/>
          <w:sz w:val="16"/>
          <w:szCs w:val="16"/>
        </w:rPr>
        <w:t>Li</w:t>
      </w:r>
      <w:r w:rsidR="00E01338" w:rsidRPr="00197231">
        <w:rPr>
          <w:rFonts w:cstheme="minorHAnsi"/>
          <w:sz w:val="16"/>
          <w:szCs w:val="16"/>
        </w:rPr>
        <w:t xml:space="preserve"> </w:t>
      </w:r>
      <w:r w:rsidR="00E01338">
        <w:rPr>
          <w:rFonts w:cstheme="minorHAnsi"/>
          <w:sz w:val="16"/>
          <w:szCs w:val="16"/>
        </w:rPr>
        <w:t xml:space="preserve">site </w:t>
      </w:r>
      <w:r w:rsidR="00197231" w:rsidRPr="00197231">
        <w:rPr>
          <w:rFonts w:cstheme="minorHAnsi"/>
          <w:sz w:val="16"/>
          <w:szCs w:val="16"/>
        </w:rPr>
        <w:t>may be regarded as a fingerprint of a specific defect configuration. The defect structure in one of two congrue</w:t>
      </w:r>
      <w:r w:rsidR="00E01338">
        <w:rPr>
          <w:rFonts w:cstheme="minorHAnsi"/>
          <w:sz w:val="16"/>
          <w:szCs w:val="16"/>
        </w:rPr>
        <w:t>nt LT crystals after annealing wa</w:t>
      </w:r>
      <w:r w:rsidR="00197231" w:rsidRPr="00197231">
        <w:rPr>
          <w:rFonts w:cstheme="minorHAnsi"/>
          <w:sz w:val="16"/>
          <w:szCs w:val="16"/>
        </w:rPr>
        <w:t xml:space="preserve">s identified </w:t>
      </w:r>
      <w:r w:rsidR="00CF1C35">
        <w:rPr>
          <w:rFonts w:cstheme="minorHAnsi"/>
          <w:sz w:val="16"/>
          <w:szCs w:val="16"/>
        </w:rPr>
        <w:t xml:space="preserve">experimentally </w:t>
      </w:r>
      <w:r w:rsidR="00197231" w:rsidRPr="00197231">
        <w:rPr>
          <w:rFonts w:cstheme="minorHAnsi"/>
          <w:sz w:val="16"/>
          <w:szCs w:val="16"/>
        </w:rPr>
        <w:t xml:space="preserve">and proved by the defect formation energy consideration. </w:t>
      </w:r>
      <w:r w:rsidR="00E01338">
        <w:rPr>
          <w:rFonts w:cstheme="minorHAnsi"/>
          <w:sz w:val="16"/>
          <w:szCs w:val="16"/>
        </w:rPr>
        <w:t xml:space="preserve"> We found that the defect cluster in this crystal corresponded to the empty site model. </w:t>
      </w:r>
      <w:r w:rsidR="00197231" w:rsidRPr="00197231">
        <w:rPr>
          <w:rFonts w:cstheme="minorHAnsi"/>
          <w:sz w:val="16"/>
          <w:szCs w:val="16"/>
        </w:rPr>
        <w:t xml:space="preserve">The identification of the defect structure in the second LT sample </w:t>
      </w:r>
      <w:r w:rsidR="00E01338">
        <w:rPr>
          <w:rFonts w:cstheme="minorHAnsi"/>
          <w:sz w:val="16"/>
          <w:szCs w:val="16"/>
        </w:rPr>
        <w:t>wa</w:t>
      </w:r>
      <w:r w:rsidR="00197231" w:rsidRPr="00197231">
        <w:rPr>
          <w:rFonts w:cstheme="minorHAnsi"/>
          <w:sz w:val="16"/>
          <w:szCs w:val="16"/>
        </w:rPr>
        <w:t>s more challenging, implying the presence of extrinsic defects and an inhomogeneo</w:t>
      </w:r>
      <w:r w:rsidR="00E01338">
        <w:rPr>
          <w:rFonts w:cstheme="minorHAnsi"/>
          <w:sz w:val="16"/>
          <w:szCs w:val="16"/>
        </w:rPr>
        <w:t xml:space="preserve">us defect distribution. </w:t>
      </w:r>
      <w:r w:rsidR="00197231" w:rsidRPr="00197231">
        <w:rPr>
          <w:rFonts w:cstheme="minorHAnsi"/>
          <w:sz w:val="16"/>
          <w:szCs w:val="16"/>
        </w:rPr>
        <w:t xml:space="preserve">After thermal treatment, hydrogen out-diffusion and homogeneous distribution of other defects in both LT samples </w:t>
      </w:r>
      <w:r w:rsidR="00CF1C35">
        <w:rPr>
          <w:rFonts w:cstheme="minorHAnsi"/>
          <w:sz w:val="16"/>
          <w:szCs w:val="16"/>
        </w:rPr>
        <w:t>were</w:t>
      </w:r>
      <w:bookmarkStart w:id="0" w:name="_GoBack"/>
      <w:bookmarkEnd w:id="0"/>
      <w:r w:rsidR="00197231" w:rsidRPr="00197231">
        <w:rPr>
          <w:rFonts w:cstheme="minorHAnsi"/>
          <w:sz w:val="16"/>
          <w:szCs w:val="16"/>
        </w:rPr>
        <w:t xml:space="preserve"> observed </w:t>
      </w:r>
      <w:r w:rsidR="00E01338">
        <w:rPr>
          <w:rFonts w:cstheme="minorHAnsi"/>
          <w:sz w:val="16"/>
          <w:szCs w:val="16"/>
        </w:rPr>
        <w:t>in the NMR and FTIR spectra</w:t>
      </w:r>
      <w:r w:rsidR="00197231" w:rsidRPr="00197231">
        <w:rPr>
          <w:rFonts w:cstheme="minorHAnsi"/>
          <w:sz w:val="16"/>
          <w:szCs w:val="16"/>
        </w:rPr>
        <w:t>. The approach of searching for the EFG fingerprints from DFT calculations in NMR spectra can be applied for identification of the defect c</w:t>
      </w:r>
      <w:r w:rsidR="00197231">
        <w:rPr>
          <w:rFonts w:cstheme="minorHAnsi"/>
          <w:sz w:val="16"/>
          <w:szCs w:val="16"/>
        </w:rPr>
        <w:t>lusters in other complex oxides</w:t>
      </w:r>
      <w:r w:rsidR="00B833AD" w:rsidRPr="007E1A75">
        <w:rPr>
          <w:rFonts w:cstheme="minorHAnsi"/>
          <w:sz w:val="16"/>
          <w:szCs w:val="16"/>
        </w:rPr>
        <w:t>.</w:t>
      </w:r>
    </w:p>
    <w:p w:rsidR="00B833AD" w:rsidRPr="007E1A75" w:rsidRDefault="00B833AD" w:rsidP="00B833AD">
      <w:pPr>
        <w:rPr>
          <w:rFonts w:cstheme="minorHAnsi"/>
          <w:b/>
          <w:color w:val="BF5A14"/>
          <w:sz w:val="16"/>
          <w:szCs w:val="16"/>
        </w:rPr>
      </w:pPr>
      <w:r w:rsidRPr="007E1A75">
        <w:rPr>
          <w:rFonts w:cstheme="minorHAnsi"/>
          <w:b/>
          <w:color w:val="BF5A14"/>
          <w:sz w:val="16"/>
          <w:szCs w:val="16"/>
        </w:rPr>
        <w:t>Image:</w:t>
      </w:r>
      <w:r w:rsidRPr="007E1A75">
        <w:rPr>
          <w:rFonts w:cstheme="minorHAnsi"/>
          <w:b/>
          <w:noProof/>
          <w:sz w:val="16"/>
          <w:szCs w:val="16"/>
        </w:rPr>
        <w:t xml:space="preserve"> </w:t>
      </w:r>
      <w:r w:rsidR="00014B63">
        <w:rPr>
          <w:rFonts w:cstheme="minorHAnsi"/>
          <w:b/>
          <w:noProof/>
          <w:color w:val="BF5A14"/>
          <w:sz w:val="16"/>
          <w:szCs w:val="16"/>
          <w:lang w:val="de-DE" w:eastAsia="de-DE"/>
        </w:rPr>
        <w:drawing>
          <wp:inline distT="0" distB="0" distL="0" distR="0">
            <wp:extent cx="2743200" cy="265684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 abstract capture.t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65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3AD" w:rsidRPr="007E1A75" w:rsidRDefault="00B833AD" w:rsidP="00B833AD">
      <w:pPr>
        <w:rPr>
          <w:rFonts w:cstheme="minorHAnsi"/>
          <w:b/>
          <w:color w:val="BF5A14"/>
          <w:sz w:val="16"/>
          <w:szCs w:val="16"/>
        </w:rPr>
      </w:pPr>
      <w:r w:rsidRPr="007E1A75">
        <w:rPr>
          <w:rFonts w:cstheme="minorHAnsi"/>
          <w:b/>
          <w:color w:val="BF5A14"/>
          <w:sz w:val="16"/>
          <w:szCs w:val="16"/>
        </w:rPr>
        <w:t xml:space="preserve">Recent Publications: </w:t>
      </w:r>
    </w:p>
    <w:p w:rsidR="00197231" w:rsidRDefault="00197231" w:rsidP="00197231">
      <w:pPr>
        <w:pStyle w:val="TextBody"/>
        <w:numPr>
          <w:ilvl w:val="0"/>
          <w:numId w:val="1"/>
        </w:numPr>
        <w:spacing w:before="85" w:line="216" w:lineRule="exact"/>
        <w:ind w:right="138"/>
        <w:jc w:val="both"/>
        <w:rPr>
          <w:rFonts w:asciiTheme="minorHAnsi" w:hAnsiTheme="minorHAnsi" w:cstheme="minorHAnsi"/>
          <w:sz w:val="16"/>
          <w:szCs w:val="16"/>
        </w:rPr>
      </w:pPr>
      <w:r w:rsidRPr="00197231">
        <w:rPr>
          <w:rFonts w:asciiTheme="minorHAnsi" w:hAnsiTheme="minorHAnsi" w:cstheme="minorHAnsi"/>
          <w:sz w:val="16"/>
          <w:szCs w:val="16"/>
        </w:rPr>
        <w:t xml:space="preserve">V. A. Vizgalov, T. Nestler, L. A. Trusov, I. A. Bobrikov, O.I. Ivankov, M.V. Avdeev, M. Motylenko, E. Brendler, A. Vyalikh, D.C. Meyer, D. M. Itkis </w:t>
      </w:r>
      <w:r w:rsidRPr="003A5888">
        <w:rPr>
          <w:rFonts w:asciiTheme="minorHAnsi" w:hAnsiTheme="minorHAnsi" w:cstheme="minorHAnsi"/>
          <w:b/>
          <w:sz w:val="16"/>
          <w:szCs w:val="16"/>
        </w:rPr>
        <w:t>(201</w:t>
      </w:r>
      <w:r w:rsidRPr="003A5888">
        <w:rPr>
          <w:rFonts w:asciiTheme="minorHAnsi" w:hAnsiTheme="minorHAnsi" w:cstheme="minorHAnsi"/>
          <w:b/>
          <w:sz w:val="16"/>
          <w:szCs w:val="16"/>
        </w:rPr>
        <w:t>8</w:t>
      </w:r>
      <w:r w:rsidRPr="003A5888">
        <w:rPr>
          <w:rFonts w:asciiTheme="minorHAnsi" w:hAnsiTheme="minorHAnsi" w:cstheme="minorHAnsi"/>
          <w:b/>
          <w:sz w:val="16"/>
          <w:szCs w:val="16"/>
        </w:rPr>
        <w:t>)</w:t>
      </w:r>
      <w:r w:rsidRPr="00197231">
        <w:rPr>
          <w:rFonts w:asciiTheme="minorHAnsi" w:hAnsiTheme="minorHAnsi" w:cstheme="minorHAnsi"/>
          <w:sz w:val="16"/>
          <w:szCs w:val="16"/>
        </w:rPr>
        <w:t xml:space="preserve"> Enhancing Lithium-Ion Conductivity in NASICON Glass-Ceramics by Adding Yttria</w:t>
      </w:r>
      <w:r w:rsidR="003A5888">
        <w:rPr>
          <w:rFonts w:asciiTheme="minorHAnsi" w:hAnsiTheme="minorHAnsi" w:cstheme="minorHAnsi"/>
          <w:sz w:val="16"/>
          <w:szCs w:val="16"/>
        </w:rPr>
        <w:t>.</w:t>
      </w:r>
    </w:p>
    <w:p w:rsidR="00197231" w:rsidRPr="00197231" w:rsidRDefault="00197231" w:rsidP="00197231">
      <w:pPr>
        <w:pStyle w:val="TextBody"/>
        <w:spacing w:before="85" w:line="216" w:lineRule="exact"/>
        <w:ind w:left="392" w:right="138" w:firstLine="14"/>
        <w:jc w:val="both"/>
        <w:rPr>
          <w:rFonts w:asciiTheme="minorHAnsi" w:hAnsiTheme="minorHAnsi" w:cstheme="minorHAnsi"/>
          <w:sz w:val="16"/>
          <w:szCs w:val="16"/>
        </w:rPr>
      </w:pPr>
      <w:r w:rsidRPr="00197231">
        <w:rPr>
          <w:rFonts w:asciiTheme="minorHAnsi" w:hAnsiTheme="minorHAnsi" w:cstheme="minorHAnsi"/>
          <w:sz w:val="16"/>
          <w:szCs w:val="16"/>
        </w:rPr>
        <w:t xml:space="preserve">Cryst. Eng. Comm., </w:t>
      </w:r>
      <w:r>
        <w:rPr>
          <w:rFonts w:asciiTheme="minorHAnsi" w:hAnsiTheme="minorHAnsi" w:cstheme="minorHAnsi"/>
          <w:sz w:val="16"/>
          <w:szCs w:val="16"/>
        </w:rPr>
        <w:t>accepted</w:t>
      </w:r>
      <w:r w:rsidRPr="00197231">
        <w:rPr>
          <w:rFonts w:asciiTheme="minorHAnsi" w:hAnsiTheme="minorHAnsi" w:cstheme="minorHAnsi"/>
          <w:sz w:val="16"/>
          <w:szCs w:val="16"/>
        </w:rPr>
        <w:t xml:space="preserve"> DOI: 10.1039/C7CE01910F</w:t>
      </w:r>
    </w:p>
    <w:p w:rsidR="003A5888" w:rsidRDefault="00197231" w:rsidP="00197231">
      <w:pPr>
        <w:pStyle w:val="TextBody"/>
        <w:numPr>
          <w:ilvl w:val="0"/>
          <w:numId w:val="1"/>
        </w:numPr>
        <w:spacing w:before="85" w:line="216" w:lineRule="exact"/>
        <w:ind w:right="138"/>
        <w:jc w:val="both"/>
        <w:rPr>
          <w:rFonts w:asciiTheme="minorHAnsi" w:hAnsiTheme="minorHAnsi" w:cstheme="minorHAnsi"/>
          <w:sz w:val="16"/>
          <w:szCs w:val="16"/>
        </w:rPr>
      </w:pPr>
      <w:r w:rsidRPr="00197231">
        <w:rPr>
          <w:rFonts w:asciiTheme="minorHAnsi" w:hAnsiTheme="minorHAnsi" w:cstheme="minorHAnsi"/>
          <w:sz w:val="16"/>
          <w:szCs w:val="16"/>
        </w:rPr>
        <w:t xml:space="preserve">A. Vyalikh, M. Zschornak, Th. Köhler, M. Nentwich, T. Weigel, J. Hanzig, R. Zaripov, E. Vavilova, S. Gemming, E. Brendler, D.C. Meyer </w:t>
      </w:r>
      <w:r w:rsidR="003A5888" w:rsidRPr="003A5888">
        <w:rPr>
          <w:rFonts w:asciiTheme="minorHAnsi" w:hAnsiTheme="minorHAnsi" w:cstheme="minorHAnsi"/>
          <w:b/>
          <w:sz w:val="16"/>
          <w:szCs w:val="16"/>
        </w:rPr>
        <w:t>(2018)</w:t>
      </w:r>
      <w:r w:rsidR="003A5888" w:rsidRPr="00197231">
        <w:rPr>
          <w:rFonts w:asciiTheme="minorHAnsi" w:hAnsiTheme="minorHAnsi" w:cstheme="minorHAnsi"/>
          <w:sz w:val="16"/>
          <w:szCs w:val="16"/>
        </w:rPr>
        <w:t xml:space="preserve"> </w:t>
      </w:r>
      <w:r w:rsidRPr="00197231">
        <w:rPr>
          <w:rFonts w:asciiTheme="minorHAnsi" w:hAnsiTheme="minorHAnsi" w:cstheme="minorHAnsi"/>
          <w:sz w:val="16"/>
          <w:szCs w:val="16"/>
        </w:rPr>
        <w:t>Analysis of the defect clusters in congruent lithium tantalate</w:t>
      </w:r>
      <w:r w:rsidR="003A5888">
        <w:rPr>
          <w:rFonts w:asciiTheme="minorHAnsi" w:hAnsiTheme="minorHAnsi" w:cstheme="minorHAnsi"/>
          <w:sz w:val="16"/>
          <w:szCs w:val="16"/>
        </w:rPr>
        <w:t>.</w:t>
      </w:r>
    </w:p>
    <w:p w:rsidR="00197231" w:rsidRPr="00197231" w:rsidRDefault="003A5888" w:rsidP="003A5888">
      <w:pPr>
        <w:pStyle w:val="TextBody"/>
        <w:spacing w:before="85" w:line="216" w:lineRule="exact"/>
        <w:ind w:left="322" w:right="138" w:firstLine="28"/>
        <w:jc w:val="both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 xml:space="preserve">Phys. Rev. Materials </w:t>
      </w:r>
      <w:r w:rsidR="00197231" w:rsidRPr="003A5888">
        <w:rPr>
          <w:rFonts w:asciiTheme="minorHAnsi" w:hAnsiTheme="minorHAnsi" w:cstheme="minorHAnsi"/>
          <w:b/>
          <w:sz w:val="16"/>
          <w:szCs w:val="16"/>
        </w:rPr>
        <w:t>2</w:t>
      </w:r>
      <w:r w:rsidRPr="003A5888">
        <w:rPr>
          <w:rFonts w:asciiTheme="minorHAnsi" w:hAnsiTheme="minorHAnsi" w:cstheme="minorHAnsi"/>
          <w:b/>
          <w:sz w:val="16"/>
          <w:szCs w:val="16"/>
        </w:rPr>
        <w:t>:</w:t>
      </w:r>
      <w:r w:rsidR="00197231" w:rsidRPr="003A5888">
        <w:rPr>
          <w:rFonts w:asciiTheme="minorHAnsi" w:hAnsiTheme="minorHAnsi" w:cstheme="minorHAnsi"/>
          <w:b/>
          <w:sz w:val="16"/>
          <w:szCs w:val="16"/>
        </w:rPr>
        <w:t>013804</w:t>
      </w:r>
      <w:r>
        <w:rPr>
          <w:rFonts w:asciiTheme="minorHAnsi" w:hAnsiTheme="minorHAnsi" w:cstheme="minorHAnsi"/>
          <w:sz w:val="16"/>
          <w:szCs w:val="16"/>
        </w:rPr>
        <w:t>.</w:t>
      </w:r>
    </w:p>
    <w:p w:rsidR="00197231" w:rsidRPr="00197231" w:rsidRDefault="00197231" w:rsidP="00197231">
      <w:pPr>
        <w:pStyle w:val="TextBody"/>
        <w:numPr>
          <w:ilvl w:val="0"/>
          <w:numId w:val="1"/>
        </w:numPr>
        <w:spacing w:before="85" w:line="216" w:lineRule="exact"/>
        <w:ind w:right="138"/>
        <w:jc w:val="both"/>
        <w:rPr>
          <w:rFonts w:asciiTheme="minorHAnsi" w:hAnsiTheme="minorHAnsi" w:cstheme="minorHAnsi"/>
          <w:sz w:val="16"/>
          <w:szCs w:val="16"/>
        </w:rPr>
      </w:pPr>
      <w:r w:rsidRPr="00197231">
        <w:rPr>
          <w:rFonts w:asciiTheme="minorHAnsi" w:hAnsiTheme="minorHAnsi" w:cstheme="minorHAnsi"/>
          <w:sz w:val="16"/>
          <w:szCs w:val="16"/>
        </w:rPr>
        <w:t xml:space="preserve">V.O. Koroteev, W. Münchgesang, Yu.V. Shubin, Yu.N. Palyanov, P.E. Plyusnin, D.A. Smirnov, K.A. Kovalenko, M. Bobnar, R. Gumeniuk, E. Brendler, D.C. Meyer, L.G. Bulusheva, A.V. Okotrub, A. Vyalikh </w:t>
      </w:r>
      <w:r w:rsidR="003A5888" w:rsidRPr="003A5888">
        <w:rPr>
          <w:rFonts w:asciiTheme="minorHAnsi" w:hAnsiTheme="minorHAnsi" w:cstheme="minorHAnsi"/>
          <w:b/>
          <w:sz w:val="16"/>
          <w:szCs w:val="16"/>
        </w:rPr>
        <w:t>(2017)</w:t>
      </w:r>
      <w:r w:rsidR="003A5888" w:rsidRPr="00197231">
        <w:rPr>
          <w:rFonts w:asciiTheme="minorHAnsi" w:hAnsiTheme="minorHAnsi" w:cstheme="minorHAnsi"/>
          <w:sz w:val="16"/>
          <w:szCs w:val="16"/>
        </w:rPr>
        <w:t xml:space="preserve"> </w:t>
      </w:r>
      <w:r w:rsidRPr="00197231">
        <w:rPr>
          <w:rFonts w:asciiTheme="minorHAnsi" w:hAnsiTheme="minorHAnsi" w:cstheme="minorHAnsi"/>
          <w:sz w:val="16"/>
          <w:szCs w:val="16"/>
        </w:rPr>
        <w:t xml:space="preserve">Multiscale characterization of </w:t>
      </w:r>
      <w:r w:rsidRPr="003A5888">
        <w:rPr>
          <w:rFonts w:asciiTheme="minorHAnsi" w:hAnsiTheme="minorHAnsi" w:cstheme="minorHAnsi"/>
          <w:sz w:val="16"/>
          <w:szCs w:val="16"/>
          <w:vertAlign w:val="superscript"/>
        </w:rPr>
        <w:t>13</w:t>
      </w:r>
      <w:r w:rsidRPr="00197231">
        <w:rPr>
          <w:rFonts w:asciiTheme="minorHAnsi" w:hAnsiTheme="minorHAnsi" w:cstheme="minorHAnsi"/>
          <w:sz w:val="16"/>
          <w:szCs w:val="16"/>
        </w:rPr>
        <w:t>C-enriched fine-grained graphitic materials for chemical and electrochemical applicatio</w:t>
      </w:r>
      <w:r w:rsidR="003A5888">
        <w:rPr>
          <w:rFonts w:asciiTheme="minorHAnsi" w:hAnsiTheme="minorHAnsi" w:cstheme="minorHAnsi"/>
          <w:sz w:val="16"/>
          <w:szCs w:val="16"/>
        </w:rPr>
        <w:t xml:space="preserve">ns. Carbon, </w:t>
      </w:r>
      <w:r w:rsidR="003A5888" w:rsidRPr="003A5888">
        <w:rPr>
          <w:rFonts w:asciiTheme="minorHAnsi" w:hAnsiTheme="minorHAnsi" w:cstheme="minorHAnsi"/>
          <w:b/>
          <w:sz w:val="16"/>
          <w:szCs w:val="16"/>
        </w:rPr>
        <w:t>124:161–169</w:t>
      </w:r>
      <w:r w:rsidR="003A5888">
        <w:rPr>
          <w:rFonts w:asciiTheme="minorHAnsi" w:hAnsiTheme="minorHAnsi" w:cstheme="minorHAnsi"/>
          <w:sz w:val="16"/>
          <w:szCs w:val="16"/>
        </w:rPr>
        <w:t>.</w:t>
      </w:r>
    </w:p>
    <w:p w:rsidR="003A5888" w:rsidRDefault="00197231" w:rsidP="00197231">
      <w:pPr>
        <w:pStyle w:val="TextBody"/>
        <w:numPr>
          <w:ilvl w:val="0"/>
          <w:numId w:val="1"/>
        </w:numPr>
        <w:spacing w:before="85" w:line="216" w:lineRule="exact"/>
        <w:ind w:right="138"/>
        <w:jc w:val="both"/>
        <w:rPr>
          <w:rFonts w:asciiTheme="minorHAnsi" w:hAnsiTheme="minorHAnsi" w:cstheme="minorHAnsi"/>
          <w:sz w:val="16"/>
          <w:szCs w:val="16"/>
        </w:rPr>
      </w:pPr>
      <w:r w:rsidRPr="00197231">
        <w:rPr>
          <w:rFonts w:asciiTheme="minorHAnsi" w:hAnsiTheme="minorHAnsi" w:cstheme="minorHAnsi"/>
          <w:sz w:val="16"/>
          <w:szCs w:val="16"/>
        </w:rPr>
        <w:t xml:space="preserve">S. A. Rounaghi, H. Eshghi, S. Scudino, A. Vyalikh, D. E. P. Vanpoucke, W. Gruner, S. Oswald, A.-R. Kiani-Rashid, M. </w:t>
      </w:r>
      <w:r w:rsidRPr="00197231">
        <w:rPr>
          <w:rFonts w:asciiTheme="minorHAnsi" w:hAnsiTheme="minorHAnsi" w:cstheme="minorHAnsi"/>
          <w:sz w:val="16"/>
          <w:szCs w:val="16"/>
        </w:rPr>
        <w:lastRenderedPageBreak/>
        <w:t xml:space="preserve">Samadi-Khoshkhoo, U. Scheler, J. Eckert </w:t>
      </w:r>
      <w:r w:rsidR="003A5888" w:rsidRPr="003A5888">
        <w:rPr>
          <w:rFonts w:asciiTheme="minorHAnsi" w:hAnsiTheme="minorHAnsi" w:cstheme="minorHAnsi"/>
          <w:b/>
          <w:sz w:val="16"/>
          <w:szCs w:val="16"/>
        </w:rPr>
        <w:t>(2016)</w:t>
      </w:r>
      <w:r w:rsidR="003A5888" w:rsidRPr="00197231">
        <w:rPr>
          <w:rFonts w:asciiTheme="minorHAnsi" w:hAnsiTheme="minorHAnsi" w:cstheme="minorHAnsi"/>
          <w:sz w:val="16"/>
          <w:szCs w:val="16"/>
        </w:rPr>
        <w:t xml:space="preserve"> </w:t>
      </w:r>
      <w:r w:rsidRPr="00197231">
        <w:rPr>
          <w:rFonts w:asciiTheme="minorHAnsi" w:hAnsiTheme="minorHAnsi" w:cstheme="minorHAnsi"/>
          <w:sz w:val="16"/>
          <w:szCs w:val="16"/>
        </w:rPr>
        <w:t>Mechanochemical route to the synthesis of nanostructured Aluminium nitride</w:t>
      </w:r>
      <w:r w:rsidR="003A5888">
        <w:rPr>
          <w:rFonts w:asciiTheme="minorHAnsi" w:hAnsiTheme="minorHAnsi" w:cstheme="minorHAnsi"/>
          <w:sz w:val="16"/>
          <w:szCs w:val="16"/>
        </w:rPr>
        <w:t>.</w:t>
      </w:r>
    </w:p>
    <w:p w:rsidR="00197231" w:rsidRPr="00197231" w:rsidRDefault="00197231" w:rsidP="003A5888">
      <w:pPr>
        <w:pStyle w:val="TextBody"/>
        <w:spacing w:before="85" w:line="216" w:lineRule="exact"/>
        <w:ind w:left="99" w:right="138" w:firstLine="279"/>
        <w:jc w:val="both"/>
        <w:rPr>
          <w:rFonts w:asciiTheme="minorHAnsi" w:hAnsiTheme="minorHAnsi" w:cstheme="minorHAnsi"/>
          <w:sz w:val="16"/>
          <w:szCs w:val="16"/>
        </w:rPr>
      </w:pPr>
      <w:r w:rsidRPr="00197231">
        <w:rPr>
          <w:rFonts w:asciiTheme="minorHAnsi" w:hAnsiTheme="minorHAnsi" w:cstheme="minorHAnsi"/>
          <w:sz w:val="16"/>
          <w:szCs w:val="16"/>
        </w:rPr>
        <w:t xml:space="preserve">Sci. Rep. </w:t>
      </w:r>
      <w:r w:rsidRPr="003A5888">
        <w:rPr>
          <w:rFonts w:asciiTheme="minorHAnsi" w:hAnsiTheme="minorHAnsi" w:cstheme="minorHAnsi"/>
          <w:b/>
          <w:sz w:val="16"/>
          <w:szCs w:val="16"/>
        </w:rPr>
        <w:t>6</w:t>
      </w:r>
      <w:r w:rsidR="003A5888" w:rsidRPr="003A5888">
        <w:rPr>
          <w:rFonts w:asciiTheme="minorHAnsi" w:hAnsiTheme="minorHAnsi" w:cstheme="minorHAnsi"/>
          <w:b/>
          <w:sz w:val="16"/>
          <w:szCs w:val="16"/>
        </w:rPr>
        <w:t>:</w:t>
      </w:r>
      <w:r w:rsidRPr="003A5888">
        <w:rPr>
          <w:rFonts w:asciiTheme="minorHAnsi" w:hAnsiTheme="minorHAnsi" w:cstheme="minorHAnsi"/>
          <w:b/>
          <w:sz w:val="16"/>
          <w:szCs w:val="16"/>
        </w:rPr>
        <w:t>33375</w:t>
      </w:r>
      <w:r w:rsidRPr="00197231">
        <w:rPr>
          <w:rFonts w:asciiTheme="minorHAnsi" w:hAnsiTheme="minorHAnsi" w:cstheme="minorHAnsi"/>
          <w:sz w:val="16"/>
          <w:szCs w:val="16"/>
        </w:rPr>
        <w:t xml:space="preserve"> </w:t>
      </w:r>
    </w:p>
    <w:p w:rsidR="003A5888" w:rsidRDefault="00197231" w:rsidP="003A5888">
      <w:pPr>
        <w:pStyle w:val="TextBody"/>
        <w:numPr>
          <w:ilvl w:val="0"/>
          <w:numId w:val="1"/>
        </w:numPr>
        <w:spacing w:before="85" w:line="216" w:lineRule="exact"/>
        <w:ind w:right="138"/>
        <w:jc w:val="both"/>
        <w:rPr>
          <w:rFonts w:asciiTheme="minorHAnsi" w:hAnsiTheme="minorHAnsi" w:cstheme="minorHAnsi"/>
          <w:sz w:val="16"/>
          <w:szCs w:val="16"/>
        </w:rPr>
      </w:pPr>
      <w:r w:rsidRPr="00197231">
        <w:rPr>
          <w:rFonts w:asciiTheme="minorHAnsi" w:hAnsiTheme="minorHAnsi" w:cstheme="minorHAnsi"/>
          <w:sz w:val="16"/>
          <w:szCs w:val="16"/>
        </w:rPr>
        <w:t xml:space="preserve">M. T. Atanasova, A. Vyalikh, U. Scheler and W. W. Focke </w:t>
      </w:r>
      <w:r w:rsidR="003A5888" w:rsidRPr="003A5888">
        <w:rPr>
          <w:rFonts w:asciiTheme="minorHAnsi" w:hAnsiTheme="minorHAnsi" w:cstheme="minorHAnsi"/>
          <w:b/>
          <w:sz w:val="16"/>
          <w:szCs w:val="16"/>
        </w:rPr>
        <w:t>(2016)</w:t>
      </w:r>
      <w:r w:rsidR="003A5888" w:rsidRPr="00197231">
        <w:rPr>
          <w:rFonts w:asciiTheme="minorHAnsi" w:hAnsiTheme="minorHAnsi" w:cstheme="minorHAnsi"/>
          <w:sz w:val="16"/>
          <w:szCs w:val="16"/>
        </w:rPr>
        <w:t xml:space="preserve"> </w:t>
      </w:r>
      <w:r w:rsidRPr="00197231">
        <w:rPr>
          <w:rFonts w:asciiTheme="minorHAnsi" w:hAnsiTheme="minorHAnsi" w:cstheme="minorHAnsi"/>
          <w:sz w:val="16"/>
          <w:szCs w:val="16"/>
        </w:rPr>
        <w:t>Characterization of rectorite from the Beatrix Gold Mine in South Africa</w:t>
      </w:r>
      <w:r w:rsidR="003A5888">
        <w:rPr>
          <w:rFonts w:asciiTheme="minorHAnsi" w:hAnsiTheme="minorHAnsi" w:cstheme="minorHAnsi"/>
          <w:sz w:val="16"/>
          <w:szCs w:val="16"/>
        </w:rPr>
        <w:t>.</w:t>
      </w:r>
    </w:p>
    <w:p w:rsidR="007E1A75" w:rsidRDefault="003A5888" w:rsidP="003A5888">
      <w:pPr>
        <w:pStyle w:val="TextBody"/>
        <w:spacing w:before="85" w:line="216" w:lineRule="exact"/>
        <w:ind w:left="426" w:right="138"/>
        <w:jc w:val="both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 xml:space="preserve">Appl. Clay Sci. </w:t>
      </w:r>
      <w:r w:rsidRPr="003A5888">
        <w:rPr>
          <w:rFonts w:asciiTheme="minorHAnsi" w:hAnsiTheme="minorHAnsi" w:cstheme="minorHAnsi"/>
          <w:b/>
          <w:sz w:val="16"/>
          <w:szCs w:val="16"/>
        </w:rPr>
        <w:t>126</w:t>
      </w:r>
      <w:r>
        <w:rPr>
          <w:rFonts w:asciiTheme="minorHAnsi" w:hAnsiTheme="minorHAnsi" w:cstheme="minorHAnsi"/>
          <w:b/>
          <w:sz w:val="16"/>
          <w:szCs w:val="16"/>
        </w:rPr>
        <w:t>:</w:t>
      </w:r>
      <w:r w:rsidRPr="003A5888">
        <w:rPr>
          <w:rFonts w:asciiTheme="minorHAnsi" w:hAnsiTheme="minorHAnsi" w:cstheme="minorHAnsi"/>
          <w:b/>
          <w:sz w:val="16"/>
          <w:szCs w:val="16"/>
        </w:rPr>
        <w:t>7-16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</w:p>
    <w:p w:rsidR="00E01338" w:rsidRDefault="00E01338" w:rsidP="00E01338">
      <w:pPr>
        <w:pStyle w:val="TextBody"/>
        <w:numPr>
          <w:ilvl w:val="0"/>
          <w:numId w:val="1"/>
        </w:numPr>
        <w:spacing w:before="85" w:line="216" w:lineRule="exact"/>
        <w:ind w:right="138"/>
        <w:jc w:val="both"/>
        <w:rPr>
          <w:rFonts w:asciiTheme="minorHAnsi" w:hAnsiTheme="minorHAnsi" w:cstheme="minorHAnsi"/>
          <w:sz w:val="16"/>
          <w:szCs w:val="16"/>
        </w:rPr>
      </w:pPr>
      <w:r w:rsidRPr="00E01338">
        <w:rPr>
          <w:rFonts w:asciiTheme="minorHAnsi" w:hAnsiTheme="minorHAnsi" w:cstheme="minorHAnsi"/>
          <w:sz w:val="16"/>
          <w:szCs w:val="16"/>
        </w:rPr>
        <w:t xml:space="preserve">D. M. Itkis, J. J. Velasco-Velez, A. Knop-Gericke, A. Vyalikh, M. V. Avdeev and L. V. Yashina </w:t>
      </w:r>
      <w:r w:rsidRPr="00E01338">
        <w:rPr>
          <w:rFonts w:asciiTheme="minorHAnsi" w:hAnsiTheme="minorHAnsi" w:cstheme="minorHAnsi"/>
          <w:b/>
          <w:sz w:val="16"/>
          <w:szCs w:val="16"/>
        </w:rPr>
        <w:t>(2015)</w:t>
      </w:r>
      <w:r w:rsidRPr="00E01338">
        <w:rPr>
          <w:rFonts w:asciiTheme="minorHAnsi" w:hAnsiTheme="minorHAnsi" w:cstheme="minorHAnsi"/>
          <w:sz w:val="16"/>
          <w:szCs w:val="16"/>
        </w:rPr>
        <w:t xml:space="preserve"> Probing Operating Electrochemical Interfaces by Photons and Neutrons</w:t>
      </w:r>
      <w:r>
        <w:rPr>
          <w:rFonts w:asciiTheme="minorHAnsi" w:hAnsiTheme="minorHAnsi" w:cstheme="minorHAnsi"/>
          <w:sz w:val="16"/>
          <w:szCs w:val="16"/>
        </w:rPr>
        <w:t>.</w:t>
      </w:r>
    </w:p>
    <w:p w:rsidR="00E01338" w:rsidRDefault="00E01338" w:rsidP="00E01338">
      <w:pPr>
        <w:pStyle w:val="TextBody"/>
        <w:spacing w:before="85" w:line="216" w:lineRule="exact"/>
        <w:ind w:left="284" w:right="138" w:firstLine="142"/>
        <w:jc w:val="both"/>
        <w:rPr>
          <w:rFonts w:asciiTheme="minorHAnsi" w:hAnsiTheme="minorHAnsi" w:cstheme="minorHAnsi"/>
          <w:sz w:val="16"/>
          <w:szCs w:val="16"/>
        </w:rPr>
      </w:pPr>
      <w:r w:rsidRPr="00E01338">
        <w:rPr>
          <w:rFonts w:asciiTheme="minorHAnsi" w:hAnsiTheme="minorHAnsi" w:cstheme="minorHAnsi"/>
          <w:sz w:val="16"/>
          <w:szCs w:val="16"/>
        </w:rPr>
        <w:t xml:space="preserve">ChemElectroChem, </w:t>
      </w:r>
      <w:r w:rsidRPr="00E01338">
        <w:rPr>
          <w:rFonts w:asciiTheme="minorHAnsi" w:hAnsiTheme="minorHAnsi" w:cstheme="minorHAnsi"/>
          <w:b/>
          <w:sz w:val="16"/>
          <w:szCs w:val="16"/>
        </w:rPr>
        <w:t>2(10):1427-1445</w:t>
      </w:r>
      <w:r w:rsidRPr="00E01338">
        <w:rPr>
          <w:rFonts w:asciiTheme="minorHAnsi" w:hAnsiTheme="minorHAnsi" w:cstheme="minorHAnsi"/>
          <w:sz w:val="16"/>
          <w:szCs w:val="16"/>
        </w:rPr>
        <w:t xml:space="preserve"> </w:t>
      </w:r>
    </w:p>
    <w:p w:rsidR="00E01338" w:rsidRDefault="00E01338" w:rsidP="003A5888">
      <w:pPr>
        <w:pStyle w:val="TextBody"/>
        <w:spacing w:before="85" w:line="216" w:lineRule="exact"/>
        <w:ind w:left="426" w:right="138"/>
        <w:jc w:val="both"/>
        <w:rPr>
          <w:rFonts w:asciiTheme="minorHAnsi" w:hAnsiTheme="minorHAnsi" w:cstheme="minorHAnsi"/>
          <w:sz w:val="16"/>
          <w:szCs w:val="16"/>
        </w:rPr>
      </w:pPr>
    </w:p>
    <w:p w:rsidR="00E01338" w:rsidRPr="003A5888" w:rsidRDefault="00E01338" w:rsidP="00E01338">
      <w:pPr>
        <w:pStyle w:val="TextBody"/>
        <w:numPr>
          <w:ilvl w:val="0"/>
          <w:numId w:val="4"/>
        </w:numPr>
        <w:spacing w:before="85" w:line="216" w:lineRule="exact"/>
        <w:ind w:right="138"/>
        <w:jc w:val="both"/>
        <w:rPr>
          <w:rFonts w:asciiTheme="minorHAnsi" w:hAnsiTheme="minorHAnsi" w:cstheme="minorHAnsi"/>
          <w:sz w:val="16"/>
          <w:szCs w:val="16"/>
        </w:rPr>
        <w:sectPr w:rsidR="00E01338" w:rsidRPr="003A5888" w:rsidSect="007E1A75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B833AD" w:rsidRPr="007E1A75" w:rsidRDefault="00B833AD" w:rsidP="00B833AD">
      <w:pPr>
        <w:spacing w:before="90" w:line="278" w:lineRule="auto"/>
        <w:ind w:left="100"/>
        <w:jc w:val="both"/>
        <w:rPr>
          <w:sz w:val="16"/>
          <w:szCs w:val="16"/>
        </w:rPr>
      </w:pPr>
    </w:p>
    <w:p w:rsidR="007E1A75" w:rsidRDefault="00263112" w:rsidP="00B833AD">
      <w:pPr>
        <w:spacing w:before="90" w:line="278" w:lineRule="auto"/>
        <w:ind w:left="100"/>
        <w:jc w:val="both"/>
        <w:rPr>
          <w:rFonts w:ascii="Arial" w:hAnsi="Arial"/>
          <w:color w:val="BF5A14"/>
        </w:rPr>
      </w:pPr>
      <w:r>
        <w:rPr>
          <w:rFonts w:ascii="Arial" w:hAnsi="Arial" w:cs="Arial"/>
          <w:b/>
          <w:noProof/>
          <w:sz w:val="24"/>
          <w:szCs w:val="24"/>
          <w:lang w:eastAsia="de-D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67945</wp:posOffset>
            </wp:positionH>
            <wp:positionV relativeFrom="paragraph">
              <wp:posOffset>-1905</wp:posOffset>
            </wp:positionV>
            <wp:extent cx="1004570" cy="1390650"/>
            <wp:effectExtent l="0" t="0" r="5080" b="0"/>
            <wp:wrapSquare wrapText="bothSides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SC_468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457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33AD" w:rsidRDefault="00014B63" w:rsidP="00B833AD">
      <w:pPr>
        <w:spacing w:before="90" w:line="278" w:lineRule="auto"/>
        <w:ind w:left="100"/>
        <w:jc w:val="both"/>
        <w:rPr>
          <w:rFonts w:ascii="Arial" w:hAnsi="Arial"/>
          <w:color w:val="BF5A14"/>
        </w:rPr>
      </w:pPr>
      <w:r>
        <w:rPr>
          <w:rFonts w:ascii="Arial" w:hAnsi="Arial"/>
          <w:color w:val="BF5A14"/>
        </w:rPr>
        <w:t>Biography</w:t>
      </w:r>
    </w:p>
    <w:p w:rsidR="00451D70" w:rsidRPr="00451D70" w:rsidRDefault="00451D70" w:rsidP="00B833AD">
      <w:pPr>
        <w:spacing w:before="41" w:line="154" w:lineRule="exact"/>
        <w:ind w:left="213" w:right="231"/>
        <w:jc w:val="both"/>
        <w:rPr>
          <w:rFonts w:ascii="Arial" w:hAnsi="Arial"/>
          <w:sz w:val="14"/>
          <w:szCs w:val="14"/>
        </w:rPr>
      </w:pPr>
      <w:r w:rsidRPr="00451D70">
        <w:rPr>
          <w:rFonts w:ascii="Arial" w:hAnsi="Arial"/>
          <w:sz w:val="14"/>
          <w:szCs w:val="14"/>
        </w:rPr>
        <w:t xml:space="preserve">Anastasia Vyalikh </w:t>
      </w:r>
      <w:r>
        <w:rPr>
          <w:rFonts w:ascii="Arial" w:hAnsi="Arial"/>
          <w:sz w:val="14"/>
          <w:szCs w:val="14"/>
        </w:rPr>
        <w:t>is</w:t>
      </w:r>
      <w:r w:rsidRPr="00451D70">
        <w:rPr>
          <w:rFonts w:ascii="Arial" w:hAnsi="Arial"/>
          <w:sz w:val="14"/>
          <w:szCs w:val="14"/>
        </w:rPr>
        <w:t xml:space="preserve"> a </w:t>
      </w:r>
      <w:r>
        <w:rPr>
          <w:rFonts w:ascii="Arial" w:hAnsi="Arial"/>
          <w:sz w:val="14"/>
          <w:szCs w:val="14"/>
        </w:rPr>
        <w:t>research group leader</w:t>
      </w:r>
      <w:r w:rsidRPr="00451D70">
        <w:rPr>
          <w:rFonts w:ascii="Arial" w:hAnsi="Arial"/>
          <w:sz w:val="14"/>
          <w:szCs w:val="14"/>
        </w:rPr>
        <w:t xml:space="preserve"> at the Techni</w:t>
      </w:r>
      <w:r>
        <w:rPr>
          <w:rFonts w:ascii="Arial" w:hAnsi="Arial"/>
          <w:sz w:val="14"/>
          <w:szCs w:val="14"/>
        </w:rPr>
        <w:t xml:space="preserve">cal University </w:t>
      </w:r>
      <w:r w:rsidRPr="00451D70">
        <w:rPr>
          <w:rFonts w:ascii="Arial" w:hAnsi="Arial"/>
          <w:sz w:val="14"/>
          <w:szCs w:val="14"/>
        </w:rPr>
        <w:t xml:space="preserve">Bergakademie Freiberg since 2014. She received her Master degree in physics at the State University Saint-Petersburg (1999). </w:t>
      </w:r>
      <w:r>
        <w:rPr>
          <w:rFonts w:ascii="Arial" w:hAnsi="Arial"/>
          <w:sz w:val="14"/>
          <w:szCs w:val="14"/>
        </w:rPr>
        <w:t>As</w:t>
      </w:r>
      <w:r w:rsidRPr="00451D70">
        <w:rPr>
          <w:rFonts w:ascii="Arial" w:hAnsi="Arial"/>
          <w:sz w:val="14"/>
          <w:szCs w:val="14"/>
        </w:rPr>
        <w:t xml:space="preserve"> PhD</w:t>
      </w:r>
      <w:r>
        <w:rPr>
          <w:rFonts w:ascii="Arial" w:hAnsi="Arial"/>
          <w:sz w:val="14"/>
          <w:szCs w:val="14"/>
        </w:rPr>
        <w:t xml:space="preserve"> in physical chemistry</w:t>
      </w:r>
      <w:r w:rsidRPr="00451D70">
        <w:rPr>
          <w:rFonts w:ascii="Arial" w:hAnsi="Arial"/>
          <w:sz w:val="14"/>
          <w:szCs w:val="14"/>
        </w:rPr>
        <w:t xml:space="preserve"> </w:t>
      </w:r>
      <w:r>
        <w:rPr>
          <w:rFonts w:ascii="Arial" w:hAnsi="Arial"/>
          <w:sz w:val="14"/>
          <w:szCs w:val="14"/>
        </w:rPr>
        <w:t>(</w:t>
      </w:r>
      <w:r w:rsidRPr="00451D70">
        <w:rPr>
          <w:rFonts w:ascii="Arial" w:hAnsi="Arial"/>
          <w:sz w:val="14"/>
          <w:szCs w:val="14"/>
        </w:rPr>
        <w:t>Free University of Berlin</w:t>
      </w:r>
      <w:r>
        <w:rPr>
          <w:rFonts w:ascii="Arial" w:hAnsi="Arial"/>
          <w:sz w:val="14"/>
          <w:szCs w:val="14"/>
        </w:rPr>
        <w:t xml:space="preserve">, </w:t>
      </w:r>
      <w:r w:rsidRPr="00451D70">
        <w:rPr>
          <w:rFonts w:ascii="Arial" w:hAnsi="Arial"/>
          <w:sz w:val="14"/>
          <w:szCs w:val="14"/>
        </w:rPr>
        <w:t xml:space="preserve">2005) </w:t>
      </w:r>
      <w:r w:rsidRPr="00451D70">
        <w:rPr>
          <w:rFonts w:ascii="Arial" w:hAnsi="Arial"/>
          <w:sz w:val="14"/>
          <w:szCs w:val="14"/>
        </w:rPr>
        <w:t xml:space="preserve">she </w:t>
      </w:r>
      <w:r>
        <w:rPr>
          <w:rFonts w:ascii="Arial" w:hAnsi="Arial"/>
          <w:sz w:val="14"/>
          <w:szCs w:val="14"/>
        </w:rPr>
        <w:t>focuses</w:t>
      </w:r>
      <w:r w:rsidRPr="00451D70">
        <w:rPr>
          <w:rFonts w:ascii="Arial" w:hAnsi="Arial"/>
          <w:sz w:val="14"/>
          <w:szCs w:val="14"/>
        </w:rPr>
        <w:t xml:space="preserve"> on the application of solid-state NMR and quantum-chemical calcula</w:t>
      </w:r>
      <w:r>
        <w:rPr>
          <w:rFonts w:ascii="Arial" w:hAnsi="Arial"/>
          <w:sz w:val="14"/>
          <w:szCs w:val="14"/>
        </w:rPr>
        <w:t>tions for s</w:t>
      </w:r>
      <w:r w:rsidRPr="00451D70">
        <w:rPr>
          <w:rFonts w:ascii="Arial" w:hAnsi="Arial"/>
          <w:sz w:val="14"/>
          <w:szCs w:val="14"/>
        </w:rPr>
        <w:t>tructure determination in functional oxides, solid ionic conductors, low-dimensional carbon materials</w:t>
      </w:r>
      <w:r>
        <w:rPr>
          <w:rFonts w:ascii="Arial" w:hAnsi="Arial"/>
          <w:sz w:val="14"/>
          <w:szCs w:val="14"/>
        </w:rPr>
        <w:t>.</w:t>
      </w:r>
      <w:r w:rsidRPr="00451D70">
        <w:rPr>
          <w:rFonts w:ascii="Arial" w:hAnsi="Arial"/>
          <w:sz w:val="14"/>
          <w:szCs w:val="14"/>
        </w:rPr>
        <w:t xml:space="preserve"> Current research interests include</w:t>
      </w:r>
      <w:r>
        <w:rPr>
          <w:rFonts w:ascii="Arial" w:hAnsi="Arial"/>
          <w:sz w:val="14"/>
          <w:szCs w:val="14"/>
        </w:rPr>
        <w:t xml:space="preserve"> studies of i</w:t>
      </w:r>
      <w:r w:rsidRPr="00451D70">
        <w:rPr>
          <w:rFonts w:ascii="Arial" w:hAnsi="Arial"/>
          <w:sz w:val="14"/>
          <w:szCs w:val="14"/>
        </w:rPr>
        <w:t xml:space="preserve">nterfacial phenomena in organic - inorganic nanocomposites, </w:t>
      </w:r>
      <w:r>
        <w:rPr>
          <w:rFonts w:ascii="Arial" w:hAnsi="Arial"/>
          <w:sz w:val="14"/>
          <w:szCs w:val="14"/>
        </w:rPr>
        <w:t>conducting</w:t>
      </w:r>
      <w:r w:rsidRPr="00451D70">
        <w:rPr>
          <w:rFonts w:ascii="Arial" w:hAnsi="Arial"/>
          <w:sz w:val="14"/>
          <w:szCs w:val="14"/>
        </w:rPr>
        <w:t xml:space="preserve"> glass-ceramics, carbon-based nanohybrids </w:t>
      </w:r>
      <w:r>
        <w:rPr>
          <w:rFonts w:ascii="Arial" w:hAnsi="Arial"/>
          <w:sz w:val="14"/>
          <w:szCs w:val="14"/>
        </w:rPr>
        <w:t>as well as i</w:t>
      </w:r>
      <w:r w:rsidRPr="00451D70">
        <w:rPr>
          <w:rFonts w:ascii="Arial" w:hAnsi="Arial"/>
          <w:sz w:val="14"/>
          <w:szCs w:val="14"/>
        </w:rPr>
        <w:t>mplementation of the in-situ methods for studies of electrochemical processes.</w:t>
      </w:r>
      <w:r>
        <w:rPr>
          <w:rFonts w:ascii="Arial" w:hAnsi="Arial"/>
          <w:sz w:val="14"/>
          <w:szCs w:val="14"/>
        </w:rPr>
        <w:t xml:space="preserve"> </w:t>
      </w:r>
      <w:r>
        <w:rPr>
          <w:rFonts w:ascii="Arial" w:hAnsi="Arial"/>
          <w:sz w:val="14"/>
          <w:szCs w:val="14"/>
        </w:rPr>
        <w:t>(</w:t>
      </w:r>
      <w:r>
        <w:rPr>
          <w:rFonts w:ascii="Arial" w:hAnsi="Arial"/>
          <w:sz w:val="14"/>
          <w:szCs w:val="14"/>
          <w:lang w:val="pl-PL"/>
        </w:rPr>
        <w:t>orcid.org/</w:t>
      </w:r>
      <w:r w:rsidRPr="00451D70">
        <w:rPr>
          <w:rFonts w:ascii="Arial" w:hAnsi="Arial"/>
          <w:sz w:val="14"/>
          <w:szCs w:val="14"/>
          <w:lang w:val="pl-PL"/>
        </w:rPr>
        <w:t>0000-0003-2326-8889</w:t>
      </w:r>
      <w:r>
        <w:rPr>
          <w:rFonts w:ascii="Arial" w:hAnsi="Arial"/>
          <w:sz w:val="14"/>
          <w:szCs w:val="14"/>
          <w:lang w:val="pl-PL"/>
        </w:rPr>
        <w:t>)</w:t>
      </w:r>
    </w:p>
    <w:p w:rsidR="00B833AD" w:rsidRDefault="00B833AD" w:rsidP="00B833AD">
      <w:pPr>
        <w:spacing w:before="90" w:line="278" w:lineRule="auto"/>
        <w:jc w:val="center"/>
        <w:rPr>
          <w:rFonts w:cstheme="minorHAnsi"/>
          <w:color w:val="BF5A14"/>
          <w:sz w:val="16"/>
          <w:szCs w:val="16"/>
        </w:rPr>
      </w:pPr>
      <w:r w:rsidRPr="00B833AD">
        <w:rPr>
          <w:rFonts w:cstheme="minorHAnsi"/>
          <w:sz w:val="16"/>
          <w:szCs w:val="16"/>
        </w:rPr>
        <w:t xml:space="preserve">Email: </w:t>
      </w:r>
      <w:r w:rsidR="00263112">
        <w:rPr>
          <w:rFonts w:cstheme="minorHAnsi"/>
          <w:color w:val="BF5A14"/>
          <w:sz w:val="16"/>
          <w:szCs w:val="16"/>
        </w:rPr>
        <w:t>Anastasia.Vyalikh@physik.tu-freiberg.de</w:t>
      </w:r>
    </w:p>
    <w:p w:rsidR="00B833AD" w:rsidRPr="00B833AD" w:rsidRDefault="00B833AD" w:rsidP="00B833AD">
      <w:pPr>
        <w:spacing w:before="90" w:line="278" w:lineRule="auto"/>
        <w:jc w:val="center"/>
        <w:rPr>
          <w:rFonts w:cstheme="minorHAnsi"/>
          <w:color w:val="BF5A14"/>
          <w:sz w:val="16"/>
          <w:szCs w:val="16"/>
        </w:rPr>
      </w:pPr>
    </w:p>
    <w:p w:rsidR="00B833AD" w:rsidRDefault="00B833AD" w:rsidP="00B833AD">
      <w:pPr>
        <w:spacing w:before="90" w:line="278" w:lineRule="auto"/>
        <w:ind w:left="100"/>
        <w:jc w:val="both"/>
      </w:pPr>
    </w:p>
    <w:p w:rsidR="00B833AD" w:rsidRPr="00B833AD" w:rsidRDefault="00B833AD" w:rsidP="00B833AD">
      <w:pPr>
        <w:rPr>
          <w:b/>
        </w:rPr>
      </w:pPr>
    </w:p>
    <w:p w:rsidR="00B833AD" w:rsidRPr="00B833AD" w:rsidRDefault="00B833AD" w:rsidP="00B833AD"/>
    <w:p w:rsidR="005E386E" w:rsidRDefault="005E386E" w:rsidP="005E386E">
      <w:pPr>
        <w:pStyle w:val="berschrift1"/>
        <w:spacing w:before="170"/>
        <w:ind w:left="0"/>
      </w:pPr>
    </w:p>
    <w:p w:rsidR="007F4A2B" w:rsidRDefault="00D3121D"/>
    <w:sectPr w:rsidR="007F4A2B" w:rsidSect="007E1A7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121D" w:rsidRDefault="00D3121D" w:rsidP="007E1A75">
      <w:pPr>
        <w:spacing w:after="0" w:line="240" w:lineRule="auto"/>
      </w:pPr>
      <w:r>
        <w:separator/>
      </w:r>
    </w:p>
  </w:endnote>
  <w:endnote w:type="continuationSeparator" w:id="0">
    <w:p w:rsidR="00D3121D" w:rsidRDefault="00D3121D" w:rsidP="007E1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 Pro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121D" w:rsidRDefault="00D3121D" w:rsidP="007E1A75">
      <w:pPr>
        <w:spacing w:after="0" w:line="240" w:lineRule="auto"/>
      </w:pPr>
      <w:r>
        <w:separator/>
      </w:r>
    </w:p>
  </w:footnote>
  <w:footnote w:type="continuationSeparator" w:id="0">
    <w:p w:rsidR="00D3121D" w:rsidRDefault="00D3121D" w:rsidP="007E1A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55C8A"/>
    <w:multiLevelType w:val="hybridMultilevel"/>
    <w:tmpl w:val="D200D2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61B42"/>
    <w:multiLevelType w:val="multilevel"/>
    <w:tmpl w:val="D06AEFA8"/>
    <w:lvl w:ilvl="0">
      <w:start w:val="1"/>
      <w:numFmt w:val="decimal"/>
      <w:lvlText w:val="%1."/>
      <w:lvlJc w:val="left"/>
      <w:pPr>
        <w:ind w:left="383" w:hanging="284"/>
      </w:pPr>
      <w:rPr>
        <w:rFonts w:eastAsia="Calibri" w:cs="Calibri"/>
        <w:spacing w:val="0"/>
        <w:w w:val="100"/>
        <w:sz w:val="18"/>
        <w:szCs w:val="18"/>
      </w:rPr>
    </w:lvl>
    <w:lvl w:ilvl="1">
      <w:start w:val="1"/>
      <w:numFmt w:val="bullet"/>
      <w:lvlText w:val=""/>
      <w:lvlJc w:val="left"/>
      <w:pPr>
        <w:ind w:left="877" w:hanging="28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374" w:hanging="28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1871" w:hanging="28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2369" w:hanging="28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2866" w:hanging="28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3363" w:hanging="28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3860" w:hanging="28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4358" w:hanging="284"/>
      </w:pPr>
      <w:rPr>
        <w:rFonts w:ascii="Symbol" w:hAnsi="Symbol" w:cs="Symbol" w:hint="default"/>
      </w:rPr>
    </w:lvl>
  </w:abstractNum>
  <w:abstractNum w:abstractNumId="2" w15:restartNumberingAfterBreak="0">
    <w:nsid w:val="355A7B0F"/>
    <w:multiLevelType w:val="hybridMultilevel"/>
    <w:tmpl w:val="80D60150"/>
    <w:lvl w:ilvl="0" w:tplc="0407000F">
      <w:start w:val="1"/>
      <w:numFmt w:val="decimal"/>
      <w:lvlText w:val="%1."/>
      <w:lvlJc w:val="left"/>
      <w:pPr>
        <w:ind w:left="1146" w:hanging="360"/>
      </w:pPr>
    </w:lvl>
    <w:lvl w:ilvl="1" w:tplc="04070019" w:tentative="1">
      <w:start w:val="1"/>
      <w:numFmt w:val="lowerLetter"/>
      <w:lvlText w:val="%2."/>
      <w:lvlJc w:val="left"/>
      <w:pPr>
        <w:ind w:left="1866" w:hanging="360"/>
      </w:p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</w:lvl>
    <w:lvl w:ilvl="3" w:tplc="0407000F" w:tentative="1">
      <w:start w:val="1"/>
      <w:numFmt w:val="decimal"/>
      <w:lvlText w:val="%4."/>
      <w:lvlJc w:val="left"/>
      <w:pPr>
        <w:ind w:left="3306" w:hanging="360"/>
      </w:p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</w:lvl>
    <w:lvl w:ilvl="6" w:tplc="0407000F" w:tentative="1">
      <w:start w:val="1"/>
      <w:numFmt w:val="decimal"/>
      <w:lvlText w:val="%7."/>
      <w:lvlJc w:val="left"/>
      <w:pPr>
        <w:ind w:left="5466" w:hanging="360"/>
      </w:p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6BA26AC7"/>
    <w:multiLevelType w:val="hybridMultilevel"/>
    <w:tmpl w:val="572A44E2"/>
    <w:lvl w:ilvl="0" w:tplc="0407000F">
      <w:start w:val="1"/>
      <w:numFmt w:val="decimal"/>
      <w:lvlText w:val="%1."/>
      <w:lvlJc w:val="left"/>
      <w:pPr>
        <w:ind w:left="1146" w:hanging="360"/>
      </w:pPr>
    </w:lvl>
    <w:lvl w:ilvl="1" w:tplc="04070019" w:tentative="1">
      <w:start w:val="1"/>
      <w:numFmt w:val="lowerLetter"/>
      <w:lvlText w:val="%2."/>
      <w:lvlJc w:val="left"/>
      <w:pPr>
        <w:ind w:left="1866" w:hanging="360"/>
      </w:p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</w:lvl>
    <w:lvl w:ilvl="3" w:tplc="0407000F" w:tentative="1">
      <w:start w:val="1"/>
      <w:numFmt w:val="decimal"/>
      <w:lvlText w:val="%4."/>
      <w:lvlJc w:val="left"/>
      <w:pPr>
        <w:ind w:left="3306" w:hanging="360"/>
      </w:p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</w:lvl>
    <w:lvl w:ilvl="6" w:tplc="0407000F" w:tentative="1">
      <w:start w:val="1"/>
      <w:numFmt w:val="decimal"/>
      <w:lvlText w:val="%7."/>
      <w:lvlJc w:val="left"/>
      <w:pPr>
        <w:ind w:left="5466" w:hanging="360"/>
      </w:p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7C2D2A22"/>
    <w:multiLevelType w:val="hybridMultilevel"/>
    <w:tmpl w:val="2AF66CF8"/>
    <w:lvl w:ilvl="0" w:tplc="0407000F">
      <w:start w:val="1"/>
      <w:numFmt w:val="decimal"/>
      <w:lvlText w:val="%1."/>
      <w:lvlJc w:val="left"/>
      <w:pPr>
        <w:ind w:left="1146" w:hanging="360"/>
      </w:pPr>
    </w:lvl>
    <w:lvl w:ilvl="1" w:tplc="04070019" w:tentative="1">
      <w:start w:val="1"/>
      <w:numFmt w:val="lowerLetter"/>
      <w:lvlText w:val="%2."/>
      <w:lvlJc w:val="left"/>
      <w:pPr>
        <w:ind w:left="1866" w:hanging="360"/>
      </w:p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</w:lvl>
    <w:lvl w:ilvl="3" w:tplc="0407000F" w:tentative="1">
      <w:start w:val="1"/>
      <w:numFmt w:val="decimal"/>
      <w:lvlText w:val="%4."/>
      <w:lvlJc w:val="left"/>
      <w:pPr>
        <w:ind w:left="3306" w:hanging="360"/>
      </w:p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</w:lvl>
    <w:lvl w:ilvl="6" w:tplc="0407000F" w:tentative="1">
      <w:start w:val="1"/>
      <w:numFmt w:val="decimal"/>
      <w:lvlText w:val="%7."/>
      <w:lvlJc w:val="left"/>
      <w:pPr>
        <w:ind w:left="5466" w:hanging="360"/>
      </w:p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oNotDisplayPageBoundarie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E66"/>
    <w:rsid w:val="00014B63"/>
    <w:rsid w:val="00197231"/>
    <w:rsid w:val="00263112"/>
    <w:rsid w:val="002A2E66"/>
    <w:rsid w:val="0037059B"/>
    <w:rsid w:val="003A5888"/>
    <w:rsid w:val="00451D70"/>
    <w:rsid w:val="005E386E"/>
    <w:rsid w:val="00651C7D"/>
    <w:rsid w:val="007E1A75"/>
    <w:rsid w:val="009257BB"/>
    <w:rsid w:val="009D6A77"/>
    <w:rsid w:val="00B833AD"/>
    <w:rsid w:val="00C636C6"/>
    <w:rsid w:val="00CF1C35"/>
    <w:rsid w:val="00D3121D"/>
    <w:rsid w:val="00DA6DE1"/>
    <w:rsid w:val="00E01338"/>
    <w:rsid w:val="00F91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95B5C22-A0B1-46E0-A752-896B9DA5A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1"/>
    <w:qFormat/>
    <w:rsid w:val="005E386E"/>
    <w:pPr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833A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1"/>
    <w:rsid w:val="005E386E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BodyTextChar">
    <w:name w:val="Body Text Char"/>
    <w:basedOn w:val="Absatz-Standardschriftart"/>
    <w:link w:val="TextBody"/>
    <w:uiPriority w:val="1"/>
    <w:qFormat/>
    <w:rsid w:val="005E386E"/>
    <w:rPr>
      <w:rFonts w:ascii="Tw Cen MT" w:eastAsia="Tw Cen MT" w:hAnsi="Tw Cen MT" w:cs="Tw Cen MT"/>
      <w:sz w:val="18"/>
      <w:szCs w:val="18"/>
    </w:rPr>
  </w:style>
  <w:style w:type="paragraph" w:customStyle="1" w:styleId="TextBody">
    <w:name w:val="Text Body"/>
    <w:basedOn w:val="Standard"/>
    <w:link w:val="BodyTextChar"/>
    <w:uiPriority w:val="1"/>
    <w:qFormat/>
    <w:rsid w:val="005E386E"/>
    <w:pPr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833A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ervorhebung">
    <w:name w:val="Emphasis"/>
    <w:qFormat/>
    <w:rsid w:val="00B833AD"/>
    <w:rPr>
      <w:i/>
      <w:iCs/>
    </w:rPr>
  </w:style>
  <w:style w:type="character" w:customStyle="1" w:styleId="StrongEmphasis">
    <w:name w:val="Strong Emphasis"/>
    <w:rsid w:val="00B833AD"/>
    <w:rPr>
      <w:b/>
      <w:bCs/>
    </w:rPr>
  </w:style>
  <w:style w:type="paragraph" w:styleId="Listenabsatz">
    <w:name w:val="List Paragraph"/>
    <w:basedOn w:val="Standard"/>
    <w:uiPriority w:val="34"/>
    <w:qFormat/>
    <w:rsid w:val="00B833AD"/>
    <w:pPr>
      <w:spacing w:before="90" w:after="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83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833AD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7E1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E1A75"/>
  </w:style>
  <w:style w:type="paragraph" w:styleId="Fuzeile">
    <w:name w:val="footer"/>
    <w:basedOn w:val="Standard"/>
    <w:link w:val="FuzeileZchn"/>
    <w:uiPriority w:val="99"/>
    <w:unhideWhenUsed/>
    <w:rsid w:val="007E1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E1A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3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570</Words>
  <Characters>3597</Characters>
  <Application>Microsoft Office Word</Application>
  <DocSecurity>0</DocSecurity>
  <Lines>29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 BioFuels</dc:creator>
  <cp:keywords/>
  <dc:description/>
  <cp:lastModifiedBy>Anastasia Vyalikh</cp:lastModifiedBy>
  <cp:revision>4</cp:revision>
  <dcterms:created xsi:type="dcterms:W3CDTF">2018-02-09T09:10:00Z</dcterms:created>
  <dcterms:modified xsi:type="dcterms:W3CDTF">2018-02-09T10:35:00Z</dcterms:modified>
</cp:coreProperties>
</file>