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media/image2.png" ContentType="image/png"/>
  <Override PartName="/word/media/image1.wmf" ContentType="image/x-wmf"/>
  <Override PartName="/word/embeddings/oleObject1.bin" ContentType="application/vnd.openxmlformats-officedocument.oleObject"/>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170" w:after="200"/>
        <w:ind w:left="0" w:hanging="0"/>
        <w:rPr/>
      </w:pPr>
      <w:r>
        <w:rPr>
          <w:color w:val="337AB7"/>
        </w:rPr>
        <w:t xml:space="preserve">Title: </w:t>
      </w:r>
      <w:r>
        <w:rPr>
          <w:color w:val="337AB7"/>
        </w:rPr>
        <w:t>Synthesis and characterization of Triglycine sulphate crystals doped with potassium succinate .</w:t>
      </w:r>
    </w:p>
    <w:p>
      <w:pPr>
        <w:pStyle w:val="TextBody"/>
        <w:spacing w:lineRule="exact" w:line="198" w:before="73" w:after="200"/>
        <w:ind w:left="100" w:right="5987" w:hanging="0"/>
        <w:rPr/>
      </w:pPr>
      <w:r>
        <w:rPr>
          <w:rFonts w:ascii="Arial" w:hAnsi="Arial"/>
        </w:rPr>
        <w:t xml:space="preserve">Vijeesh P, </w:t>
      </w:r>
    </w:p>
    <w:p>
      <w:pPr>
        <w:pStyle w:val="TextBody"/>
        <w:spacing w:lineRule="exact" w:line="198" w:before="73" w:after="200"/>
        <w:ind w:left="100" w:right="5987" w:hanging="0"/>
        <w:rPr/>
      </w:pPr>
      <w:r>
        <w:rPr>
          <w:rFonts w:ascii="Arial" w:hAnsi="Arial"/>
        </w:rPr>
        <w:t xml:space="preserve">Department of Physics, </w:t>
      </w:r>
    </w:p>
    <w:p>
      <w:pPr>
        <w:pStyle w:val="TextBody"/>
        <w:spacing w:lineRule="exact" w:line="198" w:before="73" w:after="200"/>
        <w:ind w:left="100" w:right="5987" w:hanging="0"/>
        <w:rPr/>
      </w:pPr>
      <w:r>
        <w:rPr>
          <w:rFonts w:ascii="Arial" w:hAnsi="Arial"/>
        </w:rPr>
        <w:t>The Cochin College, Kochi, India</w:t>
      </w:r>
    </w:p>
    <w:p>
      <w:pPr>
        <w:sectPr>
          <w:type w:val="nextPage"/>
          <w:pgSz w:w="12240" w:h="15840"/>
          <w:pgMar w:left="1440" w:right="1440" w:header="0" w:top="1440" w:footer="0" w:bottom="1440" w:gutter="0"/>
          <w:pgNumType w:fmt="decimal"/>
          <w:formProt w:val="false"/>
          <w:textDirection w:val="lrTb"/>
          <w:docGrid w:type="default" w:linePitch="360" w:charSpace="4294965247"/>
        </w:sectPr>
      </w:pPr>
    </w:p>
    <w:p>
      <w:pPr>
        <w:pStyle w:val="Heading3"/>
        <w:spacing w:before="147" w:after="200"/>
        <w:jc w:val="both"/>
        <w:rPr>
          <w:rFonts w:ascii="Calibri" w:hAnsi="Calibri" w:cs="Calibri" w:asciiTheme="minorHAnsi" w:cstheme="minorHAnsi" w:hAnsiTheme="minorHAnsi"/>
          <w:color w:val="BF5A14"/>
          <w:sz w:val="16"/>
          <w:szCs w:val="16"/>
        </w:rPr>
      </w:pPr>
      <w:r>
        <w:rPr>
          <w:rFonts w:cs="Calibri" w:ascii="Calibri" w:hAnsi="Calibri" w:asciiTheme="minorHAnsi" w:cstheme="minorHAnsi" w:hAnsiTheme="minorHAnsi"/>
          <w:color w:val="BF5A14"/>
          <w:sz w:val="16"/>
          <w:szCs w:val="16"/>
        </w:rPr>
        <w:t>Abstract: 300 words</w:t>
      </w:r>
    </w:p>
    <w:p>
      <w:pPr>
        <w:pStyle w:val="Normal"/>
        <w:spacing w:lineRule="auto" w:line="360" w:before="90" w:after="0"/>
        <w:ind w:left="100" w:hanging="0"/>
        <w:jc w:val="both"/>
        <w:rPr/>
      </w:pPr>
      <w:r>
        <w:rPr>
          <w:rFonts w:cs="Calibri" w:cstheme="minorHAnsi"/>
          <w:sz w:val="16"/>
          <w:szCs w:val="16"/>
        </w:rPr>
        <w:t>Tri glycine sulphate (NH</w:t>
      </w:r>
      <w:r>
        <w:rPr>
          <w:rFonts w:cs="Calibri" w:cstheme="minorHAnsi"/>
          <w:sz w:val="16"/>
          <w:szCs w:val="16"/>
          <w:vertAlign w:val="subscript"/>
        </w:rPr>
        <w:t>2</w:t>
      </w:r>
      <w:r>
        <w:rPr>
          <w:rFonts w:cs="Calibri" w:cstheme="minorHAnsi"/>
          <w:sz w:val="16"/>
          <w:szCs w:val="16"/>
        </w:rPr>
        <w:t>CH</w:t>
      </w:r>
      <w:r>
        <w:rPr>
          <w:rFonts w:cs="Calibri" w:cstheme="minorHAnsi"/>
          <w:sz w:val="16"/>
          <w:szCs w:val="16"/>
          <w:vertAlign w:val="subscript"/>
        </w:rPr>
        <w:t>2</w:t>
      </w:r>
      <w:r>
        <w:rPr>
          <w:rFonts w:cs="Calibri" w:cstheme="minorHAnsi"/>
          <w:sz w:val="16"/>
          <w:szCs w:val="16"/>
        </w:rPr>
        <w:t>COOH)</w:t>
      </w:r>
      <w:r>
        <w:rPr>
          <w:rFonts w:cs="Calibri" w:cstheme="minorHAnsi"/>
          <w:sz w:val="16"/>
          <w:szCs w:val="16"/>
          <w:vertAlign w:val="subscript"/>
        </w:rPr>
        <w:t>3</w:t>
      </w:r>
      <w:r>
        <w:rPr>
          <w:rFonts w:cs="Calibri" w:cstheme="minorHAnsi"/>
          <w:sz w:val="16"/>
          <w:szCs w:val="16"/>
        </w:rPr>
        <w:t>.(H</w:t>
      </w:r>
      <w:r>
        <w:rPr>
          <w:rFonts w:cs="Calibri" w:cstheme="minorHAnsi"/>
          <w:sz w:val="16"/>
          <w:szCs w:val="16"/>
          <w:vertAlign w:val="subscript"/>
        </w:rPr>
        <w:t>2</w:t>
      </w:r>
      <w:r>
        <w:rPr>
          <w:rFonts w:cs="Calibri" w:cstheme="minorHAnsi"/>
          <w:sz w:val="16"/>
          <w:szCs w:val="16"/>
        </w:rPr>
        <w:t>SO</w:t>
      </w:r>
      <w:r>
        <w:rPr>
          <w:rFonts w:cs="Calibri" w:cstheme="minorHAnsi"/>
          <w:sz w:val="16"/>
          <w:szCs w:val="16"/>
          <w:vertAlign w:val="subscript"/>
        </w:rPr>
        <w:t>4</w:t>
      </w:r>
      <w:r>
        <w:rPr>
          <w:rFonts w:cs="Calibri" w:cstheme="minorHAnsi"/>
          <w:sz w:val="16"/>
          <w:szCs w:val="16"/>
        </w:rPr>
        <w:t xml:space="preserve">) (TGS) is a ferroelectric and pyroelectric crystal which is mainly  used for infrared detector applications. The </w:t>
      </w:r>
      <w:r>
        <w:rPr>
          <w:rFonts w:cs="Calibri" w:cstheme="minorHAnsi"/>
          <w:i/>
          <w:sz w:val="16"/>
          <w:szCs w:val="16"/>
        </w:rPr>
        <w:t>b</w:t>
      </w:r>
      <w:r>
        <w:rPr>
          <w:rFonts w:cs="Calibri" w:cstheme="minorHAnsi"/>
          <w:sz w:val="16"/>
          <w:szCs w:val="16"/>
        </w:rPr>
        <w:t xml:space="preserve"> axis of TGS is the ferroelectric axis (axis of spontaneous polarization) and along this axis it exhibits maximum pyroelectric coefficient of ~ 3 × 10</w:t>
      </w:r>
      <w:r>
        <w:rPr>
          <w:rFonts w:cs="Calibri" w:cstheme="minorHAnsi"/>
          <w:sz w:val="16"/>
          <w:szCs w:val="16"/>
          <w:vertAlign w:val="superscript"/>
        </w:rPr>
        <w:t xml:space="preserve">-2 </w:t>
      </w:r>
      <w:r>
        <w:rPr>
          <w:rFonts w:cs="Calibri" w:cstheme="minorHAnsi"/>
          <w:sz w:val="16"/>
          <w:szCs w:val="16"/>
        </w:rPr>
        <w:t>μC cm</w:t>
      </w:r>
      <w:r>
        <w:rPr>
          <w:rFonts w:cs="Calibri" w:cstheme="minorHAnsi"/>
          <w:sz w:val="16"/>
          <w:szCs w:val="16"/>
          <w:vertAlign w:val="superscript"/>
        </w:rPr>
        <w:t xml:space="preserve">-2 </w:t>
      </w:r>
      <w:r>
        <w:rPr>
          <w:rFonts w:cs="Calibri" w:cstheme="minorHAnsi"/>
          <w:sz w:val="16"/>
          <w:szCs w:val="16"/>
        </w:rPr>
        <w:t>K</w:t>
      </w:r>
      <w:r>
        <w:rPr>
          <w:rFonts w:cs="Calibri" w:cstheme="minorHAnsi"/>
          <w:sz w:val="16"/>
          <w:szCs w:val="16"/>
          <w:vertAlign w:val="superscript"/>
        </w:rPr>
        <w:t>-1</w:t>
      </w:r>
      <w:r>
        <w:rPr>
          <w:rFonts w:cs="Calibri" w:cstheme="minorHAnsi"/>
          <w:sz w:val="16"/>
          <w:szCs w:val="16"/>
        </w:rPr>
        <w:t xml:space="preserve"> at room temperature [1]. Due to this reason the (010) face assumes importance in the morphology of TGS crystal. The work described in the present report is an attempt to study the evolution of the morphology of TGS crystal in general and (010) face area relative to other faces in particular and also to characterize the grown crystal for its phase and optical homogeneity using X-ray diffraction and optical interferometric techniques. </w:t>
      </w:r>
      <w:r>
        <w:rPr>
          <w:rFonts w:cs="Calibri" w:cstheme="minorHAnsi"/>
          <w:sz w:val="16"/>
          <w:szCs w:val="16"/>
        </w:rPr>
        <w:t>Also to study the effect of dopping of TGS with potassium succinate.</w:t>
      </w:r>
      <w:r>
        <w:rPr>
          <w:rFonts w:cs="Calibri" w:cstheme="minorHAnsi"/>
          <w:sz w:val="16"/>
          <w:szCs w:val="16"/>
        </w:rPr>
        <w:t xml:space="preserve"> TGS is known to undergo a second order (order-disorder type) continuous phase transition at the Curie temperature</w:t>
      </w:r>
      <w:r>
        <w:rPr>
          <w:rFonts w:cs="Calibri" w:cstheme="minorHAnsi"/>
          <w:i/>
          <w:sz w:val="16"/>
          <w:szCs w:val="16"/>
        </w:rPr>
        <w:t xml:space="preserve"> (T</w:t>
      </w:r>
      <w:r>
        <w:rPr>
          <w:rFonts w:cs="Calibri" w:cstheme="minorHAnsi"/>
          <w:i/>
          <w:sz w:val="16"/>
          <w:szCs w:val="16"/>
          <w:vertAlign w:val="subscript"/>
        </w:rPr>
        <w:t>c</w:t>
      </w:r>
      <w:r>
        <w:rPr>
          <w:rFonts w:cs="Calibri" w:cstheme="minorHAnsi"/>
          <w:sz w:val="16"/>
          <w:szCs w:val="16"/>
        </w:rPr>
        <w:t xml:space="preserve">) of 49°C. Below this temperature the crystal exhibits ferroelectric phase whereas above it the crystal gets transformed to the paraelectric phase [2]. It belongs to monoclinic system below and above the Curie temperature. It has space group </w:t>
      </w:r>
      <w:r>
        <w:rPr>
          <w:rFonts w:cs="Calibri" w:cstheme="minorHAnsi"/>
          <w:i/>
          <w:sz w:val="16"/>
          <w:szCs w:val="16"/>
        </w:rPr>
        <w:t>P</w:t>
      </w:r>
      <w:r>
        <w:rPr>
          <w:rFonts w:cs="Calibri" w:cstheme="minorHAnsi"/>
          <w:i/>
          <w:sz w:val="16"/>
          <w:szCs w:val="16"/>
          <w:vertAlign w:val="subscript"/>
        </w:rPr>
        <w:t>21</w:t>
      </w:r>
      <w:r>
        <w:rPr>
          <w:rFonts w:cs="Calibri" w:cstheme="minorHAnsi"/>
          <w:sz w:val="16"/>
          <w:szCs w:val="16"/>
        </w:rPr>
        <w:t xml:space="preserve"> in the ferroelectric phase and cento-symmetric space group </w:t>
      </w:r>
      <w:r>
        <w:rPr>
          <w:rFonts w:cs="Calibri" w:cstheme="minorHAnsi"/>
          <w:i/>
          <w:sz w:val="16"/>
          <w:szCs w:val="16"/>
        </w:rPr>
        <w:t>P</w:t>
      </w:r>
      <w:r>
        <w:rPr>
          <w:rFonts w:cs="Calibri" w:cstheme="minorHAnsi"/>
          <w:i/>
          <w:sz w:val="16"/>
          <w:szCs w:val="16"/>
          <w:vertAlign w:val="subscript"/>
        </w:rPr>
        <w:t>21/m</w:t>
      </w:r>
      <w:r>
        <w:rPr>
          <w:rFonts w:cs="Calibri" w:cstheme="minorHAnsi"/>
          <w:sz w:val="16"/>
          <w:szCs w:val="16"/>
        </w:rPr>
        <w:t xml:space="preserve"> in the paraelectric phase [3]. The lattice parameters of TGS are a=9.41Å, b=12.64 Å, c=5.73 Å and </w:t>
      </w:r>
      <w:r>
        <w:rPr>
          <w:rFonts w:cs="Arial" w:ascii="Arial" w:hAnsi="Arial"/>
          <w:sz w:val="16"/>
          <w:szCs w:val="16"/>
        </w:rPr>
        <w:t>β</w:t>
      </w:r>
      <w:r>
        <w:rPr>
          <w:rFonts w:cs="Calibri" w:cstheme="minorHAnsi"/>
          <w:sz w:val="16"/>
          <w:szCs w:val="16"/>
        </w:rPr>
        <w:t xml:space="preserve">=110°23’ [4]. Due to its self poling nature it does not require any specific poling when it is cooled from the high temperature phase to the low temperature one. Taking advantage of this characteristic of TGS, and the fact that across the Curie temperature the dipole moments of the domains will behave differently which will influence the growth rate of the (010) polar face, we have attempted to grow TGS crystal . </w:t>
      </w:r>
      <w:r>
        <w:rPr>
          <w:rFonts w:cs="Calibri" w:cstheme="minorHAnsi"/>
          <w:sz w:val="16"/>
          <w:szCs w:val="16"/>
        </w:rPr>
        <w:t>The</w:t>
      </w:r>
      <w:r>
        <w:rPr>
          <w:rFonts w:cs="Calibri" w:cstheme="minorHAnsi"/>
          <w:sz w:val="16"/>
          <w:szCs w:val="16"/>
        </w:rPr>
        <w:t xml:space="preserve"> morphology of TGS crystal in general and (010) face in particular </w:t>
      </w:r>
      <w:r>
        <w:rPr>
          <w:rFonts w:cs="Calibri" w:cstheme="minorHAnsi"/>
          <w:sz w:val="16"/>
          <w:szCs w:val="16"/>
        </w:rPr>
        <w:t>is studied. Also we attempted to study doping induced morphological changes of TGS using Potassium Succinate as dopant.</w:t>
      </w:r>
      <w:r>
        <w:rPr>
          <w:rFonts w:cs="Calibri" w:cstheme="minorHAnsi"/>
          <w:sz w:val="16"/>
          <w:szCs w:val="16"/>
        </w:rPr>
        <w:t xml:space="preserve"> </w:t>
      </w:r>
    </w:p>
    <w:p>
      <w:pPr>
        <w:pStyle w:val="Normal"/>
        <w:rPr/>
      </w:pPr>
      <w:r>
        <w:rPr>
          <w:rFonts w:cs="Calibri" w:cstheme="minorHAnsi"/>
          <w:b/>
          <w:color w:val="BF5A14"/>
          <w:sz w:val="16"/>
          <w:szCs w:val="16"/>
        </w:rPr>
        <w:t>Im</w:t>
      </w:r>
      <w:r>
        <w:rPr>
          <w:rFonts w:cs="Calibri" w:cstheme="minorHAnsi"/>
          <w:b/>
          <w:color w:val="BF5A14"/>
          <w:sz w:val="16"/>
          <w:szCs w:val="16"/>
        </w:rPr>
        <w:t>age:</w:t>
      </w:r>
    </w:p>
    <w:p>
      <w:pPr>
        <w:pStyle w:val="Normal"/>
        <w:rPr/>
      </w:pPr>
      <w:r>
        <w:rPr>
          <w:rFonts w:cs="Calibri" w:cstheme="minorHAnsi"/>
          <w:b/>
          <w:color w:val="BF5A14"/>
          <w:sz w:val="16"/>
          <w:szCs w:val="16"/>
        </w:rPr>
        <w:object>
          <v:shape id="ole_rId2" style="width:184.05pt;height:141.85pt" o:ole="">
            <v:imagedata r:id="rId3" o:title=""/>
          </v:shape>
          <o:OLEObject Type="Embed" ProgID="" ShapeID="ole_rId2" DrawAspect="Content" ObjectID="_969180528" r:id="rId2"/>
        </w:object>
      </w:r>
    </w:p>
    <w:p>
      <w:pPr>
        <w:pStyle w:val="Normal"/>
        <w:rPr>
          <w:rFonts w:cs="Calibri" w:cstheme="minorHAnsi"/>
          <w:b/>
          <w:b/>
          <w:color w:val="BF5A14"/>
          <w:sz w:val="16"/>
          <w:szCs w:val="16"/>
        </w:rPr>
      </w:pPr>
      <w:r>
        <w:rPr>
          <w:rFonts w:cs="Calibri" w:cstheme="minorHAnsi"/>
          <w:b/>
          <w:color w:val="BF5A14"/>
          <w:sz w:val="16"/>
          <w:szCs w:val="16"/>
        </w:rPr>
      </w:r>
    </w:p>
    <w:p>
      <w:pPr>
        <w:pStyle w:val="Normal"/>
        <w:rPr/>
      </w:pPr>
      <w:r>
        <w:rPr>
          <w:rFonts w:cs="Calibri" w:cstheme="minorHAnsi"/>
          <w:b/>
          <w:color w:val="BF5A14"/>
          <w:sz w:val="16"/>
          <w:szCs w:val="16"/>
        </w:rPr>
        <w:t>Recent Publications:</w:t>
      </w:r>
    </w:p>
    <w:p>
      <w:pPr>
        <w:pStyle w:val="ListParagraph"/>
        <w:numPr>
          <w:ilvl w:val="0"/>
          <w:numId w:val="1"/>
        </w:numPr>
        <w:tabs>
          <w:tab w:val="left" w:pos="384" w:leader="none"/>
        </w:tabs>
        <w:spacing w:lineRule="exact" w:line="216" w:before="103" w:after="0"/>
        <w:rPr/>
      </w:pPr>
      <w:r>
        <w:rPr>
          <w:rFonts w:cs="Calibri" w:cstheme="minorHAnsi"/>
          <w:sz w:val="16"/>
          <w:szCs w:val="16"/>
        </w:rPr>
        <w:t>Vijeesh P, Dr. Annieta Philip K, Dr. Supriya M.H</w:t>
      </w:r>
      <w:r>
        <w:rPr>
          <w:rFonts w:cs="Calibri" w:cstheme="minorHAnsi"/>
          <w:sz w:val="16"/>
          <w:szCs w:val="16"/>
        </w:rPr>
        <w:t xml:space="preserve"> (201</w:t>
      </w:r>
      <w:r>
        <w:rPr>
          <w:rFonts w:cs="Calibri" w:cstheme="minorHAnsi"/>
          <w:sz w:val="16"/>
          <w:szCs w:val="16"/>
        </w:rPr>
        <w:t>6</w:t>
      </w:r>
      <w:r>
        <w:rPr>
          <w:rFonts w:cs="Calibri" w:cstheme="minorHAnsi"/>
          <w:sz w:val="16"/>
          <w:szCs w:val="16"/>
        </w:rPr>
        <w:t xml:space="preserve">) </w:t>
      </w:r>
      <w:r>
        <w:rPr>
          <w:rFonts w:cs="Calibri" w:cstheme="minorHAnsi"/>
          <w:sz w:val="16"/>
          <w:szCs w:val="16"/>
        </w:rPr>
        <w:t>Growth and growth rate analysis of potassium succinate crystal. N.S.C.G.A, Bhabha Atomic Research Center, Mumbai, India</w:t>
      </w:r>
    </w:p>
    <w:p>
      <w:pPr>
        <w:pStyle w:val="ListParagraph"/>
        <w:numPr>
          <w:ilvl w:val="0"/>
          <w:numId w:val="1"/>
        </w:numPr>
        <w:tabs>
          <w:tab w:val="left" w:pos="384" w:leader="none"/>
        </w:tabs>
        <w:spacing w:lineRule="exact" w:line="216"/>
        <w:rPr/>
      </w:pPr>
      <w:r>
        <w:rPr>
          <w:rFonts w:cs="Calibri" w:cstheme="minorHAnsi"/>
          <w:sz w:val="16"/>
          <w:szCs w:val="16"/>
        </w:rPr>
        <w:t>Vijeesh P, Paulbert Thomas, Dr. Annieta Philip and Dr. Supriya M.H (2016), Growth rate analysis and material characterization of potassium succinate crystal.  Smart Materials for Futuristic Electronics and Communication Technology, The Cochin College, Kochi-2</w:t>
      </w:r>
    </w:p>
    <w:p>
      <w:pPr>
        <w:pStyle w:val="ListParagraph"/>
        <w:numPr>
          <w:ilvl w:val="0"/>
          <w:numId w:val="0"/>
        </w:numPr>
        <w:tabs>
          <w:tab w:val="left" w:pos="384" w:leader="none"/>
        </w:tabs>
        <w:spacing w:lineRule="exact" w:line="216"/>
        <w:ind w:left="383" w:hanging="0"/>
        <w:rPr/>
      </w:pPr>
      <w:r>
        <w:rPr/>
      </w:r>
    </w:p>
    <w:p>
      <w:pPr>
        <w:pStyle w:val="TextBody"/>
        <w:spacing w:lineRule="exact" w:line="216" w:before="85" w:after="0"/>
        <w:ind w:left="99" w:right="138" w:hanging="0"/>
        <w:jc w:val="both"/>
        <w:rPr/>
      </w:pPr>
      <w:r>
        <w:rPr/>
      </w:r>
    </w:p>
    <w:p>
      <w:pPr>
        <w:pStyle w:val="Normal"/>
        <w:spacing w:lineRule="auto" w:line="276" w:before="90" w:after="0"/>
        <w:ind w:left="100" w:right="138" w:hanging="284"/>
        <w:jc w:val="both"/>
        <w:rPr>
          <w:sz w:val="16"/>
          <w:szCs w:val="16"/>
        </w:rPr>
      </w:pPr>
      <w:r>
        <w:rPr>
          <w:sz w:val="16"/>
          <w:szCs w:val="16"/>
        </w:rPr>
      </w:r>
    </w:p>
    <w:p>
      <w:pPr>
        <w:pStyle w:val="Normal"/>
        <w:spacing w:lineRule="auto" w:line="276" w:before="90" w:after="0"/>
        <w:ind w:left="100" w:hanging="0"/>
        <w:jc w:val="both"/>
        <w:rPr>
          <w:rFonts w:ascii="Arial" w:hAnsi="Arial"/>
          <w:color w:val="BF5A14"/>
        </w:rPr>
      </w:pPr>
      <w:r>
        <w:rPr>
          <w:rFonts w:ascii="Arial" w:hAnsi="Arial"/>
          <w:color w:val="BF5A14"/>
        </w:rPr>
      </w:r>
    </w:p>
    <w:p>
      <w:pPr>
        <w:pStyle w:val="Normal"/>
        <w:spacing w:lineRule="auto" w:line="276" w:before="90" w:after="0"/>
        <w:ind w:left="100" w:hanging="0"/>
        <w:jc w:val="both"/>
        <w:rPr/>
      </w:pPr>
      <w:r>
        <w:drawing>
          <wp:anchor behindDoc="0" distT="0" distB="0" distL="0" distR="123190" simplePos="0" locked="0" layoutInCell="1" allowOverlap="1" relativeHeight="3">
            <wp:simplePos x="0" y="0"/>
            <wp:positionH relativeFrom="margin">
              <wp:align>left</wp:align>
            </wp:positionH>
            <wp:positionV relativeFrom="margin">
              <wp:align>top</wp:align>
            </wp:positionV>
            <wp:extent cx="809625" cy="1132840"/>
            <wp:effectExtent l="0" t="0" r="0" b="0"/>
            <wp:wrapSquare wrapText="bothSides"/>
            <wp:docPr id="1"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
                    <pic:cNvPicPr>
                      <a:picLocks noChangeAspect="1" noChangeArrowheads="1"/>
                    </pic:cNvPicPr>
                  </pic:nvPicPr>
                  <pic:blipFill>
                    <a:blip r:embed="rId4"/>
                    <a:stretch>
                      <a:fillRect/>
                    </a:stretch>
                  </pic:blipFill>
                  <pic:spPr bwMode="auto">
                    <a:xfrm>
                      <a:off x="0" y="0"/>
                      <a:ext cx="809625" cy="1132840"/>
                    </a:xfrm>
                    <a:prstGeom prst="rect">
                      <a:avLst/>
                    </a:prstGeom>
                  </pic:spPr>
                </pic:pic>
              </a:graphicData>
            </a:graphic>
          </wp:anchor>
        </w:drawing>
      </w:r>
      <w:r>
        <w:rPr>
          <w:rFonts w:ascii="Arial" w:hAnsi="Arial"/>
          <w:color w:val="BF5A14"/>
        </w:rPr>
        <w:t>B</w:t>
      </w:r>
      <w:r>
        <w:rPr>
          <w:rFonts w:ascii="Arial" w:hAnsi="Arial"/>
          <w:color w:val="BF5A14"/>
        </w:rPr>
        <w:t>iography: (150 words limit)</w:t>
      </w:r>
    </w:p>
    <w:p>
      <w:pPr>
        <w:pStyle w:val="Normal"/>
        <w:spacing w:lineRule="auto" w:line="276" w:before="90" w:after="0"/>
        <w:ind w:left="100" w:hanging="0"/>
        <w:jc w:val="both"/>
        <w:rPr>
          <w:rFonts w:ascii="Arial" w:hAnsi="Arial"/>
          <w:color w:val="BF5A14"/>
        </w:rPr>
      </w:pPr>
      <w:r>
        <w:rPr>
          <w:rFonts w:ascii="Arial" w:hAnsi="Arial"/>
          <w:color w:val="BF5A14"/>
        </w:rPr>
      </w:r>
    </w:p>
    <w:p>
      <w:pPr>
        <w:pStyle w:val="Normal"/>
        <w:spacing w:lineRule="auto" w:line="276" w:before="90" w:after="0"/>
        <w:ind w:left="100" w:hanging="0"/>
        <w:jc w:val="both"/>
        <w:rPr>
          <w:rFonts w:ascii="Arial" w:hAnsi="Arial"/>
          <w:color w:val="BF5A14"/>
        </w:rPr>
      </w:pPr>
      <w:r>
        <w:rPr>
          <w:rFonts w:ascii="Arial" w:hAnsi="Arial"/>
          <w:color w:val="BF5A14"/>
        </w:rPr>
      </w:r>
    </w:p>
    <w:p>
      <w:pPr>
        <w:pStyle w:val="Normal"/>
        <w:spacing w:lineRule="exact" w:line="154" w:before="41" w:after="0"/>
        <w:ind w:left="213" w:right="231" w:hanging="0"/>
        <w:jc w:val="both"/>
        <w:rPr/>
      </w:pPr>
      <w:r>
        <w:rPr>
          <w:rFonts w:ascii="Arial" w:hAnsi="Arial"/>
          <w:sz w:val="14"/>
        </w:rPr>
        <w:t>Vijeesh P has his expertise in synthesis and characterization of Non linear optical  materials and their characterization. He designed a crystallizer for slow cooling solution growth for the synthesis of the materials. And also designed a temperature controller for slow cooling of the solution. He is an Assistant Professor in Physics, Department of Physics, The Cochin College, India.</w:t>
      </w:r>
      <w:r>
        <w:rPr>
          <w:rFonts w:ascii="Arial" w:hAnsi="Arial"/>
          <w:sz w:val="14"/>
          <w:szCs w:val="14"/>
          <w:lang w:val="pl-PL"/>
        </w:rPr>
        <w:t xml:space="preserve"> He presently doing his research in Department of Electronics , The Cochin University of Science and Technology. He got  slected for research fellowships by Indian Academy of Science and did research work in Raja Ramanna Center for Advanced Technology, India.</w:t>
      </w:r>
    </w:p>
    <w:p>
      <w:pPr>
        <w:pStyle w:val="Normal"/>
        <w:spacing w:lineRule="auto" w:line="276" w:before="90" w:after="0"/>
        <w:jc w:val="center"/>
        <w:rPr/>
      </w:pPr>
      <w:r>
        <w:rPr>
          <w:rFonts w:cs="Calibri" w:cstheme="minorHAnsi"/>
          <w:sz w:val="16"/>
          <w:szCs w:val="16"/>
        </w:rPr>
        <w:t xml:space="preserve">Email: </w:t>
      </w:r>
      <w:r>
        <w:rPr>
          <w:rFonts w:cs="Calibri" w:cstheme="minorHAnsi"/>
          <w:sz w:val="16"/>
          <w:szCs w:val="16"/>
        </w:rPr>
        <w:t>namastheviji@yahoo.co.in</w:t>
      </w:r>
    </w:p>
    <w:p>
      <w:pPr>
        <w:pStyle w:val="Normal"/>
        <w:spacing w:lineRule="auto" w:line="276" w:before="90" w:after="0"/>
        <w:jc w:val="center"/>
        <w:rPr>
          <w:rFonts w:cs="Calibri" w:cstheme="minorHAnsi"/>
          <w:color w:val="BF5A14"/>
          <w:sz w:val="16"/>
          <w:szCs w:val="16"/>
        </w:rPr>
      </w:pPr>
      <w:r>
        <w:rPr>
          <w:rFonts w:cs="Calibri" w:cstheme="minorHAnsi"/>
          <w:color w:val="BF5A14"/>
          <w:sz w:val="16"/>
          <w:szCs w:val="16"/>
        </w:rPr>
      </w:r>
    </w:p>
    <w:p>
      <w:pPr>
        <w:pStyle w:val="Normal"/>
        <w:spacing w:lineRule="auto" w:line="276" w:before="90" w:after="0"/>
        <w:ind w:left="100" w:hanging="0"/>
        <w:jc w:val="both"/>
        <w:rPr/>
      </w:pPr>
      <w:r>
        <w:rPr/>
      </w:r>
    </w:p>
    <w:p>
      <w:pPr>
        <w:pStyle w:val="Normal"/>
        <w:rPr>
          <w:b/>
          <w:b/>
        </w:rPr>
      </w:pPr>
      <w:r>
        <w:rPr>
          <w:b/>
        </w:rPr>
      </w:r>
    </w:p>
    <w:p>
      <w:pPr>
        <w:pStyle w:val="Normal"/>
        <w:rPr/>
      </w:pPr>
      <w:r>
        <w:rPr/>
      </w:r>
    </w:p>
    <w:p>
      <w:pPr>
        <w:pStyle w:val="Heading1"/>
        <w:spacing w:before="170" w:after="0"/>
        <w:ind w:left="0" w:hanging="0"/>
        <w:rPr/>
      </w:pPr>
      <w:r>
        <w:rPr/>
      </w:r>
    </w:p>
    <w:p>
      <w:pPr>
        <w:pStyle w:val="Normal"/>
        <w:widowControl/>
        <w:bidi w:val="0"/>
        <w:spacing w:lineRule="auto" w:line="276" w:before="0" w:after="200"/>
        <w:jc w:val="left"/>
        <w:rPr/>
      </w:pPr>
      <w:r>
        <w:rPr/>
      </w:r>
    </w:p>
    <w:sectPr>
      <w:type w:val="continuous"/>
      <w:pgSz w:w="12240" w:h="15840"/>
      <w:pgMar w:left="1440" w:right="1440" w:header="0" w:top="1440" w:footer="0" w:bottom="1440" w:gutter="0"/>
      <w:cols w:num="2" w:space="720" w:equalWidth="true" w:sep="false"/>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Minion Pro">
    <w:charset w:val="01"/>
    <w:family w:val="roman"/>
    <w:pitch w:val="variable"/>
  </w:font>
  <w:font w:name="Cambria">
    <w:charset w:val="01"/>
    <w:family w:val="roman"/>
    <w:pitch w:val="variable"/>
  </w:font>
  <w:font w:name="Tw Cen MT">
    <w:charset w:val="01"/>
    <w:family w:val="roman"/>
    <w:pitch w:val="variable"/>
  </w:font>
  <w:font w:name="Tahoma">
    <w:charset w:val="01"/>
    <w:family w:val="roman"/>
    <w:pitch w:val="variable"/>
  </w:font>
  <w:font w:name="Liberation Sans">
    <w:altName w:val="Arial"/>
    <w:charset w:val="01"/>
    <w:family w:val="swiss"/>
    <w:pitch w:val="variable"/>
  </w:font>
  <w:font w:name="Arial">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83" w:hanging="284"/>
      </w:pPr>
      <w:rPr>
        <w:sz w:val="16"/>
        <w:spacing w:val="0"/>
        <w:szCs w:val="18"/>
        <w:w w:val="100"/>
        <w:rFonts w:eastAsia="Calibri" w:cs="Calibri"/>
      </w:rPr>
    </w:lvl>
    <w:lvl w:ilvl="1">
      <w:start w:val="1"/>
      <w:numFmt w:val="bullet"/>
      <w:lvlText w:val=""/>
      <w:lvlJc w:val="left"/>
      <w:pPr>
        <w:ind w:left="877" w:hanging="284"/>
      </w:pPr>
      <w:rPr>
        <w:rFonts w:ascii="Symbol" w:hAnsi="Symbol" w:cs="Symbol" w:hint="default"/>
        <w:rFonts w:cs="Symbol"/>
      </w:rPr>
    </w:lvl>
    <w:lvl w:ilvl="2">
      <w:start w:val="1"/>
      <w:numFmt w:val="bullet"/>
      <w:lvlText w:val=""/>
      <w:lvlJc w:val="left"/>
      <w:pPr>
        <w:ind w:left="1374" w:hanging="284"/>
      </w:pPr>
      <w:rPr>
        <w:rFonts w:ascii="Symbol" w:hAnsi="Symbol" w:cs="Symbol" w:hint="default"/>
        <w:rFonts w:cs="Symbol"/>
      </w:rPr>
    </w:lvl>
    <w:lvl w:ilvl="3">
      <w:start w:val="1"/>
      <w:numFmt w:val="bullet"/>
      <w:lvlText w:val=""/>
      <w:lvlJc w:val="left"/>
      <w:pPr>
        <w:ind w:left="1871" w:hanging="284"/>
      </w:pPr>
      <w:rPr>
        <w:rFonts w:ascii="Symbol" w:hAnsi="Symbol" w:cs="Symbol" w:hint="default"/>
        <w:rFonts w:cs="Symbol"/>
      </w:rPr>
    </w:lvl>
    <w:lvl w:ilvl="4">
      <w:start w:val="1"/>
      <w:numFmt w:val="bullet"/>
      <w:lvlText w:val=""/>
      <w:lvlJc w:val="left"/>
      <w:pPr>
        <w:ind w:left="2369" w:hanging="284"/>
      </w:pPr>
      <w:rPr>
        <w:rFonts w:ascii="Symbol" w:hAnsi="Symbol" w:cs="Symbol" w:hint="default"/>
        <w:rFonts w:cs="Symbol"/>
      </w:rPr>
    </w:lvl>
    <w:lvl w:ilvl="5">
      <w:start w:val="1"/>
      <w:numFmt w:val="bullet"/>
      <w:lvlText w:val=""/>
      <w:lvlJc w:val="left"/>
      <w:pPr>
        <w:ind w:left="2866" w:hanging="284"/>
      </w:pPr>
      <w:rPr>
        <w:rFonts w:ascii="Symbol" w:hAnsi="Symbol" w:cs="Symbol" w:hint="default"/>
        <w:rFonts w:cs="Symbol"/>
      </w:rPr>
    </w:lvl>
    <w:lvl w:ilvl="6">
      <w:start w:val="1"/>
      <w:numFmt w:val="bullet"/>
      <w:lvlText w:val=""/>
      <w:lvlJc w:val="left"/>
      <w:pPr>
        <w:ind w:left="3363" w:hanging="284"/>
      </w:pPr>
      <w:rPr>
        <w:rFonts w:ascii="Symbol" w:hAnsi="Symbol" w:cs="Symbol" w:hint="default"/>
        <w:rFonts w:cs="Symbol"/>
      </w:rPr>
    </w:lvl>
    <w:lvl w:ilvl="7">
      <w:start w:val="1"/>
      <w:numFmt w:val="bullet"/>
      <w:lvlText w:val=""/>
      <w:lvlJc w:val="left"/>
      <w:pPr>
        <w:ind w:left="3860" w:hanging="284"/>
      </w:pPr>
      <w:rPr>
        <w:rFonts w:ascii="Symbol" w:hAnsi="Symbol" w:cs="Symbol" w:hint="default"/>
        <w:rFonts w:cs="Symbol"/>
      </w:rPr>
    </w:lvl>
    <w:lvl w:ilvl="8">
      <w:start w:val="1"/>
      <w:numFmt w:val="bullet"/>
      <w:lvlText w:val=""/>
      <w:lvlJc w:val="left"/>
      <w:pPr>
        <w:ind w:left="4358" w:hanging="284"/>
      </w:pPr>
      <w:rPr>
        <w:rFonts w:ascii="Symbol" w:hAnsi="Symbol" w:cs="Symbol" w:hint="default"/>
        <w:rFonts w:cs="Symbol"/>
      </w:r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6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en-US" w:eastAsia="en-US" w:bidi="ar-SA"/>
    </w:rPr>
  </w:style>
  <w:style w:type="paragraph" w:styleId="Heading1">
    <w:name w:val="Heading 1"/>
    <w:basedOn w:val="Normal"/>
    <w:link w:val="Heading1Char"/>
    <w:uiPriority w:val="1"/>
    <w:qFormat/>
    <w:rsid w:val="005e386e"/>
    <w:pPr>
      <w:spacing w:lineRule="exact" w:line="400" w:before="47" w:after="0"/>
      <w:ind w:left="100" w:hanging="0"/>
      <w:outlineLvl w:val="0"/>
    </w:pPr>
    <w:rPr>
      <w:rFonts w:ascii="Minion Pro" w:hAnsi="Minion Pro" w:eastAsia="Minion Pro" w:cs="Minion Pro"/>
      <w:b/>
      <w:bCs/>
      <w:sz w:val="36"/>
      <w:szCs w:val="36"/>
    </w:rPr>
  </w:style>
  <w:style w:type="paragraph" w:styleId="Heading3">
    <w:name w:val="Heading 3"/>
    <w:basedOn w:val="Normal"/>
    <w:next w:val="Normal"/>
    <w:link w:val="Heading3Char"/>
    <w:uiPriority w:val="9"/>
    <w:semiHidden/>
    <w:unhideWhenUsed/>
    <w:qFormat/>
    <w:rsid w:val="00b833ad"/>
    <w:pPr>
      <w:keepNext/>
      <w:keepLines/>
      <w:spacing w:before="200" w:after="0"/>
      <w:outlineLvl w:val="2"/>
    </w:pPr>
    <w:rPr>
      <w:rFonts w:ascii="Cambria" w:hAnsi="Cambria" w:eastAsia="" w:cs="" w:asciiTheme="majorHAnsi" w:cstheme="majorBidi" w:eastAsiaTheme="majorEastAsia" w:hAnsiTheme="majorHAnsi"/>
      <w:b/>
      <w:bCs/>
      <w:color w:val="4F81BD" w:themeColor="accent1"/>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1"/>
    <w:qFormat/>
    <w:rsid w:val="005e386e"/>
    <w:rPr>
      <w:rFonts w:ascii="Minion Pro" w:hAnsi="Minion Pro" w:eastAsia="Minion Pro" w:cs="Minion Pro"/>
      <w:b/>
      <w:bCs/>
      <w:sz w:val="36"/>
      <w:szCs w:val="36"/>
    </w:rPr>
  </w:style>
  <w:style w:type="character" w:styleId="BodyTextChar" w:customStyle="1">
    <w:name w:val="Body Text Char"/>
    <w:basedOn w:val="DefaultParagraphFont"/>
    <w:link w:val="TextBody"/>
    <w:uiPriority w:val="1"/>
    <w:qFormat/>
    <w:rsid w:val="005e386e"/>
    <w:rPr>
      <w:rFonts w:ascii="Tw Cen MT" w:hAnsi="Tw Cen MT" w:eastAsia="Tw Cen MT" w:cs="Tw Cen MT"/>
      <w:sz w:val="18"/>
      <w:szCs w:val="18"/>
    </w:rPr>
  </w:style>
  <w:style w:type="character" w:styleId="Heading3Char" w:customStyle="1">
    <w:name w:val="Heading 3 Char"/>
    <w:basedOn w:val="DefaultParagraphFont"/>
    <w:link w:val="Heading3"/>
    <w:uiPriority w:val="9"/>
    <w:semiHidden/>
    <w:qFormat/>
    <w:rsid w:val="00b833ad"/>
    <w:rPr>
      <w:rFonts w:ascii="Cambria" w:hAnsi="Cambria" w:eastAsia="" w:cs="" w:asciiTheme="majorHAnsi" w:cstheme="majorBidi" w:eastAsiaTheme="majorEastAsia" w:hAnsiTheme="majorHAnsi"/>
      <w:b/>
      <w:bCs/>
      <w:color w:val="4F81BD" w:themeColor="accent1"/>
    </w:rPr>
  </w:style>
  <w:style w:type="character" w:styleId="Emphasis">
    <w:name w:val="Emphasis"/>
    <w:qFormat/>
    <w:rsid w:val="00b833ad"/>
    <w:rPr>
      <w:i/>
      <w:iCs/>
    </w:rPr>
  </w:style>
  <w:style w:type="character" w:styleId="StrongEmphasis" w:customStyle="1">
    <w:name w:val="Strong Emphasis"/>
    <w:qFormat/>
    <w:rsid w:val="00b833ad"/>
    <w:rPr>
      <w:b/>
      <w:bCs/>
    </w:rPr>
  </w:style>
  <w:style w:type="character" w:styleId="BalloonTextChar" w:customStyle="1">
    <w:name w:val="Balloon Text Char"/>
    <w:basedOn w:val="DefaultParagraphFont"/>
    <w:link w:val="BalloonText"/>
    <w:uiPriority w:val="99"/>
    <w:semiHidden/>
    <w:qFormat/>
    <w:rsid w:val="00b833ad"/>
    <w:rPr>
      <w:rFonts w:ascii="Tahoma" w:hAnsi="Tahoma" w:cs="Tahoma"/>
      <w:sz w:val="16"/>
      <w:szCs w:val="16"/>
    </w:rPr>
  </w:style>
  <w:style w:type="character" w:styleId="HeaderChar" w:customStyle="1">
    <w:name w:val="Header Char"/>
    <w:basedOn w:val="DefaultParagraphFont"/>
    <w:link w:val="Header"/>
    <w:uiPriority w:val="99"/>
    <w:qFormat/>
    <w:rsid w:val="007e1a75"/>
    <w:rPr/>
  </w:style>
  <w:style w:type="character" w:styleId="FooterChar" w:customStyle="1">
    <w:name w:val="Footer Char"/>
    <w:basedOn w:val="DefaultParagraphFont"/>
    <w:link w:val="Footer"/>
    <w:uiPriority w:val="99"/>
    <w:qFormat/>
    <w:rsid w:val="007e1a75"/>
    <w:rPr/>
  </w:style>
  <w:style w:type="character" w:styleId="ListLabel1">
    <w:name w:val="ListLabel 1"/>
    <w:qFormat/>
    <w:rPr>
      <w:rFonts w:eastAsia="Calibri" w:cs="Calibri"/>
      <w:spacing w:val="0"/>
      <w:w w:val="100"/>
      <w:sz w:val="16"/>
      <w:szCs w:val="18"/>
    </w:rPr>
  </w:style>
  <w:style w:type="character" w:styleId="ListLabel2">
    <w:name w:val="ListLabel 2"/>
    <w:qFormat/>
    <w:rPr>
      <w:rFonts w:cs="Symbol"/>
    </w:rPr>
  </w:style>
  <w:style w:type="character" w:styleId="ListLabel3">
    <w:name w:val="ListLabel 3"/>
    <w:qFormat/>
    <w:rPr>
      <w:rFonts w:cs="Symbol"/>
    </w:rPr>
  </w:style>
  <w:style w:type="character" w:styleId="ListLabel4">
    <w:name w:val="ListLabel 4"/>
    <w:qFormat/>
    <w:rPr>
      <w:rFonts w:cs="Symbol"/>
    </w:rPr>
  </w:style>
  <w:style w:type="character" w:styleId="ListLabel5">
    <w:name w:val="ListLabel 5"/>
    <w:qFormat/>
    <w:rPr>
      <w:rFonts w:cs="Symbol"/>
    </w:rPr>
  </w:style>
  <w:style w:type="character" w:styleId="ListLabel6">
    <w:name w:val="ListLabel 6"/>
    <w:qFormat/>
    <w:rPr>
      <w:rFonts w:cs="Symbol"/>
    </w:rPr>
  </w:style>
  <w:style w:type="character" w:styleId="ListLabel7">
    <w:name w:val="ListLabel 7"/>
    <w:qFormat/>
    <w:rPr>
      <w:rFonts w:cs="Symbol"/>
    </w:rPr>
  </w:style>
  <w:style w:type="character" w:styleId="ListLabel8">
    <w:name w:val="ListLabel 8"/>
    <w:qFormat/>
    <w:rPr>
      <w:rFonts w:cs="Symbol"/>
    </w:rPr>
  </w:style>
  <w:style w:type="character" w:styleId="ListLabel9">
    <w:name w:val="ListLabel 9"/>
    <w:qFormat/>
    <w:rPr>
      <w:rFonts w:cs="Symbol"/>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customStyle="1">
    <w:name w:val="Body Text"/>
    <w:basedOn w:val="Normal"/>
    <w:link w:val="BodyTextChar"/>
    <w:uiPriority w:val="1"/>
    <w:qFormat/>
    <w:rsid w:val="005e386e"/>
    <w:pPr>
      <w:spacing w:lineRule="auto" w:line="240" w:before="0" w:after="0"/>
    </w:pPr>
    <w:rPr>
      <w:rFonts w:ascii="Tw Cen MT" w:hAnsi="Tw Cen MT" w:eastAsia="Tw Cen MT" w:cs="Tw Cen MT"/>
      <w:sz w:val="18"/>
      <w:szCs w:val="18"/>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ListParagraph">
    <w:name w:val="List Paragraph"/>
    <w:basedOn w:val="Normal"/>
    <w:uiPriority w:val="1"/>
    <w:qFormat/>
    <w:rsid w:val="00b833ad"/>
    <w:pPr>
      <w:spacing w:lineRule="exact" w:line="200" w:before="90" w:after="0"/>
      <w:ind w:left="383" w:hanging="283"/>
      <w:jc w:val="both"/>
    </w:pPr>
    <w:rPr>
      <w:rFonts w:ascii="Calibri" w:hAnsi="Calibri" w:eastAsia="Calibri" w:cs="Calibri"/>
    </w:rPr>
  </w:style>
  <w:style w:type="paragraph" w:styleId="BalloonText">
    <w:name w:val="Balloon Text"/>
    <w:basedOn w:val="Normal"/>
    <w:link w:val="BalloonTextChar"/>
    <w:uiPriority w:val="99"/>
    <w:semiHidden/>
    <w:unhideWhenUsed/>
    <w:qFormat/>
    <w:rsid w:val="00b833ad"/>
    <w:pPr>
      <w:spacing w:lineRule="auto" w:line="240" w:before="0" w:after="0"/>
    </w:pPr>
    <w:rPr>
      <w:rFonts w:ascii="Tahoma" w:hAnsi="Tahoma" w:cs="Tahoma"/>
      <w:sz w:val="16"/>
      <w:szCs w:val="16"/>
    </w:rPr>
  </w:style>
  <w:style w:type="paragraph" w:styleId="Header">
    <w:name w:val="Header"/>
    <w:basedOn w:val="Normal"/>
    <w:link w:val="HeaderChar"/>
    <w:uiPriority w:val="99"/>
    <w:unhideWhenUsed/>
    <w:rsid w:val="007e1a75"/>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7e1a75"/>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Application>LibreOffice/5.1.6.2$Linux_X86_64 LibreOffice_project/10m0$Build-2</Application>
  <Pages>2</Pages>
  <Words>511</Words>
  <Characters>2813</Characters>
  <CharactersWithSpaces>3316</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2017-09-04T08:55:00Z</dcterms:created>
  <dc:creator>Euro BioFuels</dc:creator>
  <dc:description/>
  <dc:language>en-IN</dc:language>
  <cp:lastModifiedBy/>
  <dcterms:modified xsi:type="dcterms:W3CDTF">2017-10-06T14:53:14Z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