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51534F" w14:textId="3DD074E4" w:rsidR="00AE3E37" w:rsidRPr="00FF2EDD" w:rsidRDefault="00381980" w:rsidP="00494130">
      <w:pPr>
        <w:pStyle w:val="1"/>
        <w:spacing w:before="170"/>
        <w:ind w:left="0"/>
        <w:rPr>
          <w:color w:val="337AB7"/>
        </w:rPr>
      </w:pPr>
      <w:r>
        <w:rPr>
          <w:color w:val="337AB7"/>
        </w:rPr>
        <w:t xml:space="preserve">The prediction of the </w:t>
      </w:r>
      <w:r w:rsidR="00B603EC">
        <w:rPr>
          <w:color w:val="337AB7"/>
        </w:rPr>
        <w:t>facial growth</w:t>
      </w:r>
      <w:r w:rsidR="00FF2EDD">
        <w:rPr>
          <w:color w:val="337AB7"/>
        </w:rPr>
        <w:t xml:space="preserve">: an application of geometric morphometrics for </w:t>
      </w:r>
      <w:r w:rsidR="007A3711">
        <w:rPr>
          <w:color w:val="337AB7"/>
        </w:rPr>
        <w:t xml:space="preserve">the </w:t>
      </w:r>
      <w:proofErr w:type="spellStart"/>
      <w:r w:rsidR="0036346B">
        <w:rPr>
          <w:color w:val="337AB7"/>
        </w:rPr>
        <w:t>f</w:t>
      </w:r>
      <w:r w:rsidR="006B077C">
        <w:rPr>
          <w:color w:val="337AB7"/>
        </w:rPr>
        <w:t>o</w:t>
      </w:r>
      <w:r w:rsidR="0036346B">
        <w:rPr>
          <w:color w:val="337AB7"/>
        </w:rPr>
        <w:t>etal</w:t>
      </w:r>
      <w:proofErr w:type="spellEnd"/>
      <w:r w:rsidR="0036346B">
        <w:rPr>
          <w:color w:val="337AB7"/>
        </w:rPr>
        <w:t xml:space="preserve"> development of the human face</w:t>
      </w:r>
    </w:p>
    <w:p w14:paraId="21124869" w14:textId="77777777" w:rsidR="008A027E" w:rsidRDefault="008A027E" w:rsidP="008A027E">
      <w:pPr>
        <w:pStyle w:val="a3"/>
        <w:spacing w:before="73" w:line="198" w:lineRule="exact"/>
        <w:ind w:left="100" w:right="5987"/>
        <w:rPr>
          <w:rFonts w:ascii="Arial"/>
        </w:rPr>
      </w:pPr>
      <w:r>
        <w:rPr>
          <w:rFonts w:ascii="Arial"/>
        </w:rPr>
        <w:t xml:space="preserve">Motoki </w:t>
      </w:r>
      <w:proofErr w:type="spellStart"/>
      <w:r>
        <w:rPr>
          <w:rFonts w:ascii="Arial"/>
        </w:rPr>
        <w:t>Katsube</w:t>
      </w:r>
      <w:proofErr w:type="spellEnd"/>
      <w:r>
        <w:rPr>
          <w:rFonts w:ascii="Arial"/>
        </w:rPr>
        <w:t xml:space="preserve">, MD, Kyoto University, Japan </w:t>
      </w:r>
    </w:p>
    <w:p w14:paraId="55709CF0" w14:textId="77777777" w:rsidR="008A027E" w:rsidRDefault="008A027E" w:rsidP="008A027E">
      <w:pPr>
        <w:pStyle w:val="a3"/>
        <w:spacing w:before="73" w:line="198" w:lineRule="exact"/>
        <w:ind w:left="100" w:right="5987"/>
        <w:rPr>
          <w:rFonts w:ascii="Arial"/>
        </w:rPr>
      </w:pPr>
      <w:proofErr w:type="spellStart"/>
      <w:r>
        <w:rPr>
          <w:rFonts w:ascii="Arial"/>
        </w:rPr>
        <w:t>Shigehito</w:t>
      </w:r>
      <w:proofErr w:type="spellEnd"/>
      <w:r>
        <w:rPr>
          <w:rFonts w:ascii="Arial"/>
        </w:rPr>
        <w:t xml:space="preserve"> Yamada, MD PhD, Kyoto University, Japan</w:t>
      </w:r>
    </w:p>
    <w:p w14:paraId="57D5DE39" w14:textId="77777777" w:rsidR="00AE3E37" w:rsidRDefault="00AE3E37">
      <w:pPr>
        <w:pStyle w:val="a3"/>
        <w:rPr>
          <w:rFonts w:ascii="Arial"/>
          <w:sz w:val="20"/>
        </w:rPr>
      </w:pPr>
    </w:p>
    <w:p w14:paraId="42BB1410" w14:textId="77777777" w:rsidR="00AE3E37" w:rsidRDefault="00AE3E37">
      <w:pPr>
        <w:pStyle w:val="a3"/>
        <w:spacing w:before="3"/>
        <w:rPr>
          <w:rFonts w:ascii="Arial"/>
          <w:sz w:val="21"/>
        </w:rPr>
      </w:pPr>
    </w:p>
    <w:p w14:paraId="1DFD7E1C"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20DBB8EA" w14:textId="77777777" w:rsidR="00AE3E37" w:rsidRDefault="00A9710C">
      <w:pPr>
        <w:pStyle w:val="3"/>
        <w:spacing w:before="147"/>
        <w:jc w:val="both"/>
      </w:pPr>
      <w:r>
        <w:rPr>
          <w:color w:val="BF5A14"/>
        </w:rPr>
        <w:lastRenderedPageBreak/>
        <w:t>Abstract</w:t>
      </w:r>
      <w:r w:rsidR="00404E5B">
        <w:rPr>
          <w:color w:val="BF5A14"/>
        </w:rPr>
        <w:t xml:space="preserve"> (300 word limit)</w:t>
      </w:r>
    </w:p>
    <w:p w14:paraId="28519A16" w14:textId="115C9BF6" w:rsidR="00AE3E37" w:rsidRDefault="006B077C" w:rsidP="009D1293">
      <w:pPr>
        <w:pStyle w:val="a3"/>
        <w:spacing w:before="90" w:line="280" w:lineRule="auto"/>
        <w:ind w:left="100"/>
        <w:jc w:val="both"/>
        <w:rPr>
          <w:lang w:eastAsia="ja-JP"/>
        </w:rPr>
      </w:pPr>
      <w:r w:rsidRPr="002170E4">
        <w:rPr>
          <w:lang w:val="en-GB"/>
        </w:rPr>
        <w:t>Three-dimensional</w:t>
      </w:r>
      <w:r w:rsidRPr="002170E4">
        <w:rPr>
          <w:lang w:val="en-GB" w:eastAsia="ja-JP"/>
        </w:rPr>
        <w:t xml:space="preserve"> </w:t>
      </w:r>
      <w:r w:rsidRPr="002170E4">
        <w:rPr>
          <w:lang w:val="en-GB"/>
        </w:rPr>
        <w:t>simulation has been well developed and become almost common</w:t>
      </w:r>
      <w:r w:rsidRPr="002170E4">
        <w:rPr>
          <w:lang w:val="en-GB" w:eastAsia="ja-JP"/>
        </w:rPr>
        <w:t xml:space="preserve"> for </w:t>
      </w:r>
      <w:proofErr w:type="spellStart"/>
      <w:r w:rsidRPr="002170E4">
        <w:rPr>
          <w:lang w:val="en-GB" w:eastAsia="ja-JP"/>
        </w:rPr>
        <w:t>presurgical</w:t>
      </w:r>
      <w:proofErr w:type="spellEnd"/>
      <w:r w:rsidRPr="002170E4">
        <w:rPr>
          <w:lang w:val="en-GB" w:eastAsia="ja-JP"/>
        </w:rPr>
        <w:t xml:space="preserve"> planning; in addition,</w:t>
      </w:r>
      <w:r w:rsidRPr="002170E4">
        <w:rPr>
          <w:lang w:val="en-GB"/>
        </w:rPr>
        <w:t xml:space="preserve"> several studies have reported on the growth evaluation of children. Nevertheless, the estimation of the facial growth of humans in the early prenatal period has still remained difficult because the facial skeletons of the human f</w:t>
      </w:r>
      <w:r>
        <w:rPr>
          <w:lang w:val="en-GB"/>
        </w:rPr>
        <w:t>o</w:t>
      </w:r>
      <w:r w:rsidRPr="002170E4">
        <w:rPr>
          <w:lang w:val="en-GB"/>
        </w:rPr>
        <w:t>etuses drastically change in size and shape. To quantify and simulate the shape change, we applied geometric morphometrics (GM). GM is an analysis based on the landmark coordinates and can retain complete geometric information. Materials and Methods: Magnetic resonance images were obtained from 53 human embryos and f</w:t>
      </w:r>
      <w:r>
        <w:rPr>
          <w:lang w:val="en-GB"/>
        </w:rPr>
        <w:t>o</w:t>
      </w:r>
      <w:r w:rsidRPr="002170E4">
        <w:rPr>
          <w:lang w:val="en-GB"/>
        </w:rPr>
        <w:t>etuses in the early f</w:t>
      </w:r>
      <w:r>
        <w:rPr>
          <w:lang w:val="en-GB"/>
        </w:rPr>
        <w:t>o</w:t>
      </w:r>
      <w:r w:rsidRPr="002170E4">
        <w:rPr>
          <w:lang w:val="en-GB"/>
        </w:rPr>
        <w:t xml:space="preserve">etal period. A total of 65 landmarks were defined on the surface of the facial skeleton. </w:t>
      </w:r>
      <w:r w:rsidRPr="002170E4">
        <w:rPr>
          <w:lang w:val="en-GB" w:eastAsia="ja-JP"/>
        </w:rPr>
        <w:t>T</w:t>
      </w:r>
      <w:r w:rsidRPr="002170E4">
        <w:rPr>
          <w:lang w:val="en-GB"/>
        </w:rPr>
        <w:t xml:space="preserve">o </w:t>
      </w:r>
      <w:r w:rsidRPr="002170E4">
        <w:rPr>
          <w:lang w:val="en-GB" w:eastAsia="ja-JP"/>
        </w:rPr>
        <w:t>standardi</w:t>
      </w:r>
      <w:r>
        <w:rPr>
          <w:lang w:val="en-GB" w:eastAsia="ja-JP"/>
        </w:rPr>
        <w:t>s</w:t>
      </w:r>
      <w:r w:rsidRPr="002170E4">
        <w:rPr>
          <w:lang w:val="en-GB" w:eastAsia="ja-JP"/>
        </w:rPr>
        <w:t>e</w:t>
      </w:r>
      <w:r w:rsidRPr="002170E4">
        <w:rPr>
          <w:lang w:val="en-GB"/>
        </w:rPr>
        <w:t xml:space="preserve"> the mouth-opening condition, the landmarks of the mandible were rotated around the axis connecting bilateral condyles. We calculated and visuali</w:t>
      </w:r>
      <w:r>
        <w:rPr>
          <w:lang w:val="en-GB"/>
        </w:rPr>
        <w:t>s</w:t>
      </w:r>
      <w:r w:rsidRPr="002170E4">
        <w:rPr>
          <w:lang w:val="en-GB"/>
        </w:rPr>
        <w:t>ed the shape change of the facial skeleton with growth. Furthermore, we calculated the degree of the development. Results: The human midfacial skeleton developed in anterolateral direction in the early prenatal period. The mandible relatively decreases in length in the anteroposterior dimension and widens in the lateral dimension. The facial skeleton rapidly grew until around 13 weeks of gestation (</w:t>
      </w:r>
      <w:proofErr w:type="spellStart"/>
      <w:r w:rsidRPr="002170E4">
        <w:rPr>
          <w:lang w:val="en-GB"/>
        </w:rPr>
        <w:t>gw</w:t>
      </w:r>
      <w:proofErr w:type="spellEnd"/>
      <w:r w:rsidRPr="002170E4">
        <w:rPr>
          <w:lang w:val="en-GB"/>
        </w:rPr>
        <w:t>); consequently, the human f</w:t>
      </w:r>
      <w:r>
        <w:rPr>
          <w:lang w:val="en-GB"/>
        </w:rPr>
        <w:t>o</w:t>
      </w:r>
      <w:r w:rsidRPr="002170E4">
        <w:rPr>
          <w:lang w:val="en-GB"/>
        </w:rPr>
        <w:t xml:space="preserve">etuses acquired the shape of the facial skeleton similar to that of the neonate around that period. Conclusion and Significance: We could quantify </w:t>
      </w:r>
      <w:r w:rsidRPr="002170E4">
        <w:rPr>
          <w:lang w:val="en-GB" w:eastAsia="ja-JP"/>
        </w:rPr>
        <w:t>the growth trait of the human facial skeleton in the early f</w:t>
      </w:r>
      <w:r>
        <w:rPr>
          <w:lang w:val="en-GB" w:eastAsia="ja-JP"/>
        </w:rPr>
        <w:t>o</w:t>
      </w:r>
      <w:r w:rsidRPr="002170E4">
        <w:rPr>
          <w:lang w:val="en-GB" w:eastAsia="ja-JP"/>
        </w:rPr>
        <w:t>etal period and illustrate it in three dimensions; that is, we could provide the growth estimation model, which enables us to easily grasp the development intuitively</w:t>
      </w:r>
      <w:r w:rsidRPr="002170E4">
        <w:rPr>
          <w:lang w:val="en-GB"/>
        </w:rPr>
        <w:t>. In addition, if we apply GM for the morphological analysis of young patients undergoing surgery, we may produce the prediction of the influence of the treatment in facial growth in three dimensions, as well as perform its quantification.</w:t>
      </w:r>
    </w:p>
    <w:p w14:paraId="1FE561A4" w14:textId="57365EC8" w:rsidR="00036599" w:rsidRPr="00AC0560" w:rsidRDefault="00A9710C" w:rsidP="00AC0560">
      <w:pPr>
        <w:pStyle w:val="3"/>
        <w:spacing w:before="74"/>
        <w:rPr>
          <w:color w:val="BF5A14"/>
        </w:rPr>
      </w:pPr>
      <w:r>
        <w:rPr>
          <w:b w:val="0"/>
        </w:rPr>
        <w:br w:type="column"/>
      </w:r>
      <w:r>
        <w:rPr>
          <w:color w:val="BF5A14"/>
        </w:rPr>
        <w:lastRenderedPageBreak/>
        <w:t>Image</w:t>
      </w:r>
    </w:p>
    <w:p w14:paraId="2226B9BC" w14:textId="5BE7FC31" w:rsidR="00AE3E37" w:rsidRDefault="0036346B">
      <w:pPr>
        <w:pStyle w:val="a3"/>
        <w:spacing w:before="2"/>
        <w:rPr>
          <w:rFonts w:ascii="Arial"/>
          <w:b/>
          <w:sz w:val="16"/>
        </w:rPr>
      </w:pPr>
      <w:r>
        <w:rPr>
          <w:rFonts w:ascii="Arial"/>
          <w:b/>
          <w:noProof/>
          <w:sz w:val="16"/>
          <w:lang w:eastAsia="ja-JP"/>
        </w:rPr>
        <w:drawing>
          <wp:inline distT="0" distB="0" distL="0" distR="0" wp14:anchorId="2415563C" wp14:editId="6BEF71A7">
            <wp:extent cx="3435350" cy="1936750"/>
            <wp:effectExtent l="0" t="0" r="0" b="0"/>
            <wp:docPr id="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5350" cy="1936750"/>
                    </a:xfrm>
                    <a:prstGeom prst="rect">
                      <a:avLst/>
                    </a:prstGeom>
                    <a:noFill/>
                    <a:ln>
                      <a:noFill/>
                    </a:ln>
                  </pic:spPr>
                </pic:pic>
              </a:graphicData>
            </a:graphic>
          </wp:inline>
        </w:drawing>
      </w:r>
    </w:p>
    <w:p w14:paraId="42B02389"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5B8F0ED" w14:textId="04307A13" w:rsidR="00BD5E14" w:rsidRPr="00264F94" w:rsidRDefault="004F351E" w:rsidP="00264F94">
      <w:pPr>
        <w:numPr>
          <w:ilvl w:val="0"/>
          <w:numId w:val="4"/>
        </w:numPr>
        <w:tabs>
          <w:tab w:val="left" w:pos="384"/>
        </w:tabs>
        <w:ind w:right="117"/>
        <w:rPr>
          <w:sz w:val="18"/>
        </w:rPr>
      </w:pPr>
      <w:proofErr w:type="spellStart"/>
      <w:r w:rsidRPr="00264F94">
        <w:rPr>
          <w:sz w:val="18"/>
        </w:rPr>
        <w:t>Dadáková</w:t>
      </w:r>
      <w:proofErr w:type="spellEnd"/>
      <w:r w:rsidRPr="00264F94">
        <w:rPr>
          <w:sz w:val="18"/>
        </w:rPr>
        <w:t xml:space="preserve">, M., Cagáňová, V., Dupej, J., Hoffmannová, E., Borský, J., &amp; Velemínská, J. (2016). Three-dimensional evaluation of facial morphology in pre-school cleft patients following neonatal cheiloplasty. </w:t>
      </w:r>
      <w:r w:rsidRPr="00264F94">
        <w:rPr>
          <w:i/>
          <w:iCs/>
          <w:sz w:val="18"/>
        </w:rPr>
        <w:t>Journal of Cranio-Maxillofacial Surgery</w:t>
      </w:r>
      <w:r w:rsidRPr="00264F94">
        <w:rPr>
          <w:sz w:val="18"/>
        </w:rPr>
        <w:t xml:space="preserve">, </w:t>
      </w:r>
      <w:r w:rsidRPr="00264F94">
        <w:rPr>
          <w:i/>
          <w:iCs/>
          <w:sz w:val="18"/>
        </w:rPr>
        <w:t>44</w:t>
      </w:r>
      <w:r w:rsidRPr="00264F94">
        <w:rPr>
          <w:sz w:val="18"/>
        </w:rPr>
        <w:t xml:space="preserve">(9), 1109–1116. </w:t>
      </w:r>
    </w:p>
    <w:p w14:paraId="02FF8E64" w14:textId="22209E75" w:rsidR="00BD5E14" w:rsidRPr="00264F94" w:rsidRDefault="004F351E" w:rsidP="00264F94">
      <w:pPr>
        <w:numPr>
          <w:ilvl w:val="0"/>
          <w:numId w:val="4"/>
        </w:numPr>
        <w:tabs>
          <w:tab w:val="left" w:pos="384"/>
        </w:tabs>
        <w:ind w:right="117"/>
        <w:rPr>
          <w:rFonts w:ascii="Calibri" w:eastAsia="Calibri" w:hAnsi="Calibri" w:cs="Calibri"/>
          <w:sz w:val="18"/>
        </w:rPr>
      </w:pPr>
      <w:r w:rsidRPr="00264F94">
        <w:rPr>
          <w:rFonts w:ascii="Calibri" w:eastAsia="Calibri" w:hAnsi="Calibri" w:cs="Calibri"/>
          <w:sz w:val="18"/>
        </w:rPr>
        <w:t xml:space="preserve">Katsube, M., Yamada, S., Miyazaki, R., Yamaguchi, Y., Makishima, H., Takakuwa, T., … Suzuki, S. (2017). Quantitation of nasal development in the early prenatal period using geometric morphometrics and MRI : a new insight into the critical period of Binder phenotype. </w:t>
      </w:r>
      <w:r w:rsidRPr="00264F94">
        <w:rPr>
          <w:rFonts w:ascii="Calibri" w:eastAsia="Calibri" w:hAnsi="Calibri" w:cs="Calibri"/>
          <w:i/>
          <w:iCs/>
          <w:sz w:val="18"/>
        </w:rPr>
        <w:t>Prenatal Diagnosis</w:t>
      </w:r>
      <w:r w:rsidRPr="00264F94">
        <w:rPr>
          <w:rFonts w:ascii="Calibri" w:eastAsia="Calibri" w:hAnsi="Calibri" w:cs="Calibri"/>
          <w:sz w:val="18"/>
        </w:rPr>
        <w:t xml:space="preserve">, </w:t>
      </w:r>
      <w:r w:rsidRPr="00264F94">
        <w:rPr>
          <w:rFonts w:ascii="Calibri" w:eastAsia="Calibri" w:hAnsi="Calibri" w:cs="Calibri"/>
          <w:i/>
          <w:iCs/>
          <w:sz w:val="18"/>
        </w:rPr>
        <w:t>37</w:t>
      </w:r>
      <w:r w:rsidRPr="00264F94">
        <w:rPr>
          <w:rFonts w:ascii="Calibri" w:eastAsia="Calibri" w:hAnsi="Calibri" w:cs="Calibri"/>
          <w:sz w:val="18"/>
        </w:rPr>
        <w:t xml:space="preserve">(9), 907–915. </w:t>
      </w:r>
    </w:p>
    <w:p w14:paraId="21064116" w14:textId="586BC053" w:rsidR="00BD5E14" w:rsidRPr="00264F94" w:rsidRDefault="004F351E" w:rsidP="00264F94">
      <w:pPr>
        <w:numPr>
          <w:ilvl w:val="0"/>
          <w:numId w:val="4"/>
        </w:numPr>
        <w:tabs>
          <w:tab w:val="left" w:pos="384"/>
        </w:tabs>
        <w:ind w:right="117"/>
        <w:rPr>
          <w:rFonts w:ascii="Calibri" w:eastAsia="Calibri" w:hAnsi="Calibri" w:cs="Calibri"/>
          <w:sz w:val="18"/>
        </w:rPr>
      </w:pPr>
      <w:r w:rsidRPr="00264F94">
        <w:rPr>
          <w:rFonts w:ascii="Calibri" w:eastAsia="Calibri" w:hAnsi="Calibri" w:cs="Calibri"/>
          <w:sz w:val="18"/>
        </w:rPr>
        <w:t xml:space="preserve">Klingenberg, C. P. (2016). Size, shape, and form: concepts of allometry in geometric morphometrics. </w:t>
      </w:r>
      <w:r w:rsidRPr="00264F94">
        <w:rPr>
          <w:rFonts w:ascii="Calibri" w:eastAsia="Calibri" w:hAnsi="Calibri" w:cs="Calibri"/>
          <w:i/>
          <w:iCs/>
          <w:sz w:val="18"/>
        </w:rPr>
        <w:t>Development Genes and Evolution</w:t>
      </w:r>
      <w:r w:rsidRPr="00264F94">
        <w:rPr>
          <w:rFonts w:ascii="Calibri" w:eastAsia="Calibri" w:hAnsi="Calibri" w:cs="Calibri"/>
          <w:sz w:val="18"/>
        </w:rPr>
        <w:t xml:space="preserve">, </w:t>
      </w:r>
      <w:r w:rsidRPr="00264F94">
        <w:rPr>
          <w:rFonts w:ascii="Calibri" w:eastAsia="Calibri" w:hAnsi="Calibri" w:cs="Calibri"/>
          <w:i/>
          <w:iCs/>
          <w:sz w:val="18"/>
        </w:rPr>
        <w:t>226</w:t>
      </w:r>
      <w:r w:rsidRPr="00264F94">
        <w:rPr>
          <w:rFonts w:ascii="Calibri" w:eastAsia="Calibri" w:hAnsi="Calibri" w:cs="Calibri"/>
          <w:sz w:val="18"/>
        </w:rPr>
        <w:t xml:space="preserve">(3), 113–137. </w:t>
      </w:r>
    </w:p>
    <w:p w14:paraId="07FBA9A9" w14:textId="38BE177B" w:rsidR="00BD5E14" w:rsidRPr="00264F94" w:rsidRDefault="004F351E" w:rsidP="00264F94">
      <w:pPr>
        <w:numPr>
          <w:ilvl w:val="0"/>
          <w:numId w:val="4"/>
        </w:numPr>
        <w:tabs>
          <w:tab w:val="left" w:pos="384"/>
        </w:tabs>
        <w:ind w:right="117"/>
        <w:rPr>
          <w:rFonts w:ascii="Calibri" w:eastAsia="Calibri" w:hAnsi="Calibri" w:cs="Calibri"/>
          <w:sz w:val="18"/>
        </w:rPr>
      </w:pPr>
      <w:r w:rsidRPr="00264F94">
        <w:rPr>
          <w:rFonts w:ascii="Calibri" w:eastAsia="Calibri" w:hAnsi="Calibri" w:cs="Calibri"/>
          <w:sz w:val="18"/>
        </w:rPr>
        <w:t xml:space="preserve">Nikkhah, D., Ponniah, A., Ruff, C., &amp; Dunaway, D. (2013). Planning surgical reconstruction in Treacher - Collins syndrome using virtual simulation. </w:t>
      </w:r>
      <w:r w:rsidRPr="00264F94">
        <w:rPr>
          <w:rFonts w:ascii="Calibri" w:eastAsia="Calibri" w:hAnsi="Calibri" w:cs="Calibri"/>
          <w:i/>
          <w:iCs/>
          <w:sz w:val="18"/>
        </w:rPr>
        <w:t>Plastic &amp; Reconstructive Surgery</w:t>
      </w:r>
      <w:r w:rsidRPr="00264F94">
        <w:rPr>
          <w:rFonts w:ascii="Calibri" w:eastAsia="Calibri" w:hAnsi="Calibri" w:cs="Calibri"/>
          <w:sz w:val="18"/>
        </w:rPr>
        <w:t xml:space="preserve">, </w:t>
      </w:r>
      <w:r w:rsidRPr="00264F94">
        <w:rPr>
          <w:rFonts w:ascii="Calibri" w:eastAsia="Calibri" w:hAnsi="Calibri" w:cs="Calibri"/>
          <w:i/>
          <w:iCs/>
          <w:sz w:val="18"/>
        </w:rPr>
        <w:t>132</w:t>
      </w:r>
      <w:r w:rsidRPr="00264F94">
        <w:rPr>
          <w:rFonts w:ascii="Calibri" w:eastAsia="Calibri" w:hAnsi="Calibri" w:cs="Calibri"/>
          <w:sz w:val="18"/>
        </w:rPr>
        <w:t xml:space="preserve">, 790–805. </w:t>
      </w:r>
    </w:p>
    <w:p w14:paraId="15690C71" w14:textId="5D43B426" w:rsidR="00AE3E37" w:rsidRPr="00AC0560" w:rsidRDefault="004F351E" w:rsidP="00AC0560">
      <w:pPr>
        <w:numPr>
          <w:ilvl w:val="0"/>
          <w:numId w:val="4"/>
        </w:numPr>
        <w:tabs>
          <w:tab w:val="left" w:pos="384"/>
        </w:tabs>
        <w:ind w:right="117"/>
        <w:rPr>
          <w:rFonts w:ascii="Calibri" w:eastAsia="Calibri" w:hAnsi="Calibri" w:cs="Calibri"/>
          <w:sz w:val="18"/>
        </w:rPr>
      </w:pPr>
      <w:r w:rsidRPr="00264F94">
        <w:rPr>
          <w:rFonts w:ascii="Calibri" w:eastAsia="Calibri" w:hAnsi="Calibri" w:cs="Calibri"/>
          <w:sz w:val="18"/>
        </w:rPr>
        <w:t xml:space="preserve">Yamada, S., Uwabe, C., Nakatsu-Komatsu, T., Minekura, Y., Iwakura, M., Motoki, T., … Shiota, K. (2006). Graphic and movie illustrations of human prenatal development and their application to embryological education based on the human embryo specimens in the Kyoto collection. </w:t>
      </w:r>
      <w:r w:rsidR="00393920">
        <w:rPr>
          <w:rFonts w:ascii="Calibri" w:eastAsia="Calibri" w:hAnsi="Calibri" w:cs="Calibri"/>
          <w:i/>
          <w:iCs/>
          <w:sz w:val="18"/>
        </w:rPr>
        <w:t>Developmental Dynamics</w:t>
      </w:r>
      <w:r w:rsidRPr="00264F94">
        <w:rPr>
          <w:rFonts w:ascii="Calibri" w:eastAsia="Calibri" w:hAnsi="Calibri" w:cs="Calibri"/>
          <w:i/>
          <w:iCs/>
          <w:sz w:val="18"/>
        </w:rPr>
        <w:t>: An Official Publication of the American Association of Anatomists</w:t>
      </w:r>
      <w:r w:rsidRPr="00264F94">
        <w:rPr>
          <w:rFonts w:ascii="Calibri" w:eastAsia="Calibri" w:hAnsi="Calibri" w:cs="Calibri"/>
          <w:sz w:val="18"/>
        </w:rPr>
        <w:t xml:space="preserve">, </w:t>
      </w:r>
      <w:r w:rsidRPr="00264F94">
        <w:rPr>
          <w:rFonts w:ascii="Calibri" w:eastAsia="Calibri" w:hAnsi="Calibri" w:cs="Calibri"/>
          <w:i/>
          <w:iCs/>
          <w:sz w:val="18"/>
        </w:rPr>
        <w:t>235</w:t>
      </w:r>
      <w:r w:rsidR="00AC0560">
        <w:rPr>
          <w:rFonts w:ascii="Calibri" w:eastAsia="Calibri" w:hAnsi="Calibri" w:cs="Calibri"/>
          <w:sz w:val="18"/>
        </w:rPr>
        <w:t>(2), 468–77.</w:t>
      </w:r>
    </w:p>
    <w:p w14:paraId="7A0F184C" w14:textId="72F90B60"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3024263A" w14:textId="77777777" w:rsidR="00AE3E37" w:rsidRDefault="00AE3E37">
      <w:pPr>
        <w:pStyle w:val="a3"/>
        <w:rPr>
          <w:rFonts w:ascii="Calibri"/>
          <w:sz w:val="20"/>
        </w:rPr>
      </w:pPr>
    </w:p>
    <w:p w14:paraId="75DB5A68" w14:textId="65B166AE" w:rsidR="00AE3E37" w:rsidRDefault="0036346B">
      <w:pPr>
        <w:pStyle w:val="a3"/>
        <w:spacing w:line="40" w:lineRule="exact"/>
        <w:ind w:left="2202"/>
        <w:rPr>
          <w:rFonts w:ascii="Calibri"/>
          <w:sz w:val="4"/>
        </w:rPr>
      </w:pPr>
      <w:r>
        <w:rPr>
          <w:noProof/>
          <w:lang w:eastAsia="ja-JP"/>
        </w:rPr>
        <mc:AlternateContent>
          <mc:Choice Requires="wpg">
            <w:drawing>
              <wp:inline distT="0" distB="0" distL="0" distR="0" wp14:anchorId="6D5FF394" wp14:editId="0E477071">
                <wp:extent cx="3975735" cy="25400"/>
                <wp:effectExtent l="0" t="0" r="12065"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">
                <v:line id="Line 5" o:spid="_x0000_s1027" style="position:absolute;visibility:visible;mso-wrap-style:square" from="20,20" to="6241,2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B2831BA" w14:textId="3DE15F35" w:rsidR="00AE3E37" w:rsidRDefault="000939BF" w:rsidP="00404E5B">
      <w:pPr>
        <w:spacing w:before="92"/>
        <w:ind w:right="4234"/>
        <w:rPr>
          <w:rFonts w:ascii="Arial"/>
        </w:rPr>
      </w:pPr>
      <w:r>
        <w:rPr>
          <w:noProof/>
        </w:rPr>
        <w:t xml:space="preserve">   </w:t>
      </w:r>
      <w:bookmarkStart w:id="0" w:name="_GoBack"/>
      <w:bookmarkEnd w:id="0"/>
      <w:r w:rsidR="00A9710C">
        <w:rPr>
          <w:rFonts w:ascii="Arial"/>
          <w:color w:val="BF5A14"/>
        </w:rPr>
        <w:t>Biography</w:t>
      </w:r>
      <w:r w:rsidR="00404E5B">
        <w:rPr>
          <w:rFonts w:ascii="Arial"/>
          <w:color w:val="BF5A14"/>
        </w:rPr>
        <w:t xml:space="preserve"> (150 word limit)</w:t>
      </w:r>
    </w:p>
    <w:p w14:paraId="56AB2317" w14:textId="195F4C9C" w:rsidR="008A027E" w:rsidRDefault="006B077C" w:rsidP="008A027E">
      <w:pPr>
        <w:spacing w:before="41" w:line="154" w:lineRule="exact"/>
        <w:ind w:left="213" w:right="231"/>
        <w:jc w:val="both"/>
        <w:rPr>
          <w:rFonts w:ascii="Arial"/>
          <w:sz w:val="14"/>
          <w:lang w:eastAsia="ja-JP"/>
        </w:rPr>
      </w:pPr>
      <w:proofErr w:type="spellStart"/>
      <w:r w:rsidRPr="002170E4">
        <w:rPr>
          <w:rFonts w:ascii="Arial"/>
          <w:sz w:val="14"/>
          <w:lang w:val="en-GB"/>
        </w:rPr>
        <w:t>Dr.</w:t>
      </w:r>
      <w:proofErr w:type="spellEnd"/>
      <w:r w:rsidRPr="002170E4">
        <w:rPr>
          <w:rFonts w:ascii="Arial"/>
          <w:sz w:val="14"/>
          <w:lang w:val="en-GB"/>
        </w:rPr>
        <w:t xml:space="preserve"> Motoki </w:t>
      </w:r>
      <w:proofErr w:type="spellStart"/>
      <w:r w:rsidRPr="002170E4">
        <w:rPr>
          <w:rFonts w:ascii="Arial"/>
          <w:sz w:val="14"/>
          <w:lang w:val="en-GB"/>
        </w:rPr>
        <w:t>Katsube</w:t>
      </w:r>
      <w:proofErr w:type="spellEnd"/>
      <w:r w:rsidRPr="002170E4">
        <w:rPr>
          <w:rFonts w:ascii="Arial"/>
          <w:sz w:val="14"/>
          <w:lang w:val="en-GB"/>
        </w:rPr>
        <w:t xml:space="preserve">, MD, started his career as a Plastic and Reconstructive Surgeon, </w:t>
      </w:r>
      <w:r w:rsidRPr="002170E4">
        <w:rPr>
          <w:rFonts w:ascii="Arial"/>
          <w:sz w:val="14"/>
          <w:lang w:val="en-GB" w:eastAsia="ja-JP"/>
        </w:rPr>
        <w:t>especially focused on</w:t>
      </w:r>
      <w:r w:rsidRPr="002170E4">
        <w:rPr>
          <w:rFonts w:ascii="Arial"/>
          <w:sz w:val="14"/>
          <w:lang w:val="en-GB"/>
        </w:rPr>
        <w:t xml:space="preserve"> craniofacial surgery. </w:t>
      </w:r>
      <w:r w:rsidRPr="002170E4">
        <w:rPr>
          <w:rFonts w:ascii="Arial"/>
          <w:sz w:val="14"/>
          <w:lang w:val="en-GB" w:eastAsia="ja-JP"/>
        </w:rPr>
        <w:t xml:space="preserve">He is a </w:t>
      </w:r>
      <w:proofErr w:type="gramStart"/>
      <w:r w:rsidRPr="002170E4">
        <w:rPr>
          <w:rFonts w:ascii="Arial"/>
          <w:sz w:val="14"/>
          <w:lang w:val="en-GB" w:eastAsia="ja-JP"/>
        </w:rPr>
        <w:t>Board Certified</w:t>
      </w:r>
      <w:proofErr w:type="gramEnd"/>
      <w:r w:rsidRPr="002170E4">
        <w:rPr>
          <w:rFonts w:ascii="Arial"/>
          <w:sz w:val="14"/>
          <w:lang w:val="en-GB" w:eastAsia="ja-JP"/>
        </w:rPr>
        <w:t xml:space="preserve"> Fellow of the Japan Society of Plastic and Reconstructive Surgery, Japan Society of </w:t>
      </w:r>
      <w:proofErr w:type="spellStart"/>
      <w:r w:rsidRPr="002170E4">
        <w:rPr>
          <w:rFonts w:ascii="Arial"/>
          <w:sz w:val="14"/>
          <w:lang w:val="en-GB" w:eastAsia="ja-JP"/>
        </w:rPr>
        <w:t>Cranio</w:t>
      </w:r>
      <w:proofErr w:type="spellEnd"/>
      <w:r w:rsidRPr="002170E4">
        <w:rPr>
          <w:rFonts w:ascii="Arial"/>
          <w:sz w:val="14"/>
          <w:lang w:val="en-GB" w:eastAsia="ja-JP"/>
        </w:rPr>
        <w:t>-</w:t>
      </w:r>
      <w:proofErr w:type="spellStart"/>
      <w:r w:rsidRPr="002170E4">
        <w:rPr>
          <w:rFonts w:ascii="Arial"/>
          <w:sz w:val="14"/>
          <w:lang w:val="en-GB" w:eastAsia="ja-JP"/>
        </w:rPr>
        <w:t>Maxillo</w:t>
      </w:r>
      <w:proofErr w:type="spellEnd"/>
      <w:r w:rsidRPr="002170E4">
        <w:rPr>
          <w:rFonts w:ascii="Arial"/>
          <w:sz w:val="14"/>
          <w:lang w:val="en-GB" w:eastAsia="ja-JP"/>
        </w:rPr>
        <w:t>-Facial Surgery, and Japan Society</w:t>
      </w:r>
      <w:r w:rsidRPr="002170E4">
        <w:rPr>
          <w:rFonts w:ascii="Arial"/>
          <w:sz w:val="14"/>
          <w:lang w:val="en-GB"/>
        </w:rPr>
        <w:t xml:space="preserve"> for Surgical Wound Care. He is studying for a PhD at the Graduate School of Medicine, Kyoto University. He has passion in the facial growth of humans during the prenatal period and believes that such research could lead to elucidate the pathogenesis of congenital facial anomalies and contribute to the development of the fundamentals of their treatment. He </w:t>
      </w:r>
      <w:r w:rsidRPr="002170E4">
        <w:rPr>
          <w:rFonts w:ascii="Arial"/>
          <w:sz w:val="14"/>
          <w:lang w:val="en-GB" w:eastAsia="ja-JP"/>
        </w:rPr>
        <w:t>applied geometric morphometrics for that quantification and will apply geometric morphometrics for clinical practice.</w:t>
      </w:r>
    </w:p>
    <w:p w14:paraId="5D60C901" w14:textId="0753332C" w:rsidR="00AC0560" w:rsidRPr="00AC0560" w:rsidRDefault="0036346B" w:rsidP="00AC0560">
      <w:pPr>
        <w:spacing w:before="62"/>
        <w:ind w:left="4082" w:right="4082"/>
        <w:jc w:val="center"/>
        <w:rPr>
          <w:rFonts w:ascii="Arial"/>
          <w:sz w:val="14"/>
        </w:rPr>
      </w:pPr>
      <w:r>
        <w:rPr>
          <w:noProof/>
          <w:lang w:eastAsia="ja-JP"/>
        </w:rPr>
        <mc:AlternateContent>
          <mc:Choice Requires="wps">
            <w:drawing>
              <wp:anchor distT="4294967295" distB="4294967295" distL="0" distR="0" simplePos="0" relativeHeight="2" behindDoc="0" locked="0" layoutInCell="1" allowOverlap="1" wp14:anchorId="7E8B4056" wp14:editId="30F37819">
                <wp:simplePos x="0" y="0"/>
                <wp:positionH relativeFrom="page">
                  <wp:posOffset>2058670</wp:posOffset>
                </wp:positionH>
                <wp:positionV relativeFrom="paragraph">
                  <wp:posOffset>186689</wp:posOffset>
                </wp:positionV>
                <wp:extent cx="3442335" cy="0"/>
                <wp:effectExtent l="0" t="0" r="37465" b="2540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left:0;text-align:left;z-index:2;visibility:visible;mso-wrap-style:square;mso-width-percent:0;mso-height-percent:0;mso-wrap-distance-left:0;mso-wrap-distance-top:-1emu;mso-wrap-distance-right:0;mso-wrap-distance-bottom:-1emu;mso-position-horizontal:absolute;mso-position-horizontal-relative:page;mso-position-vertical:absolute;mso-position-vertical-relative:text;mso-width-percent:0;mso-height-percent:0;mso-width-relative:page;mso-height-relative:page" from="162.1pt,14.7pt" to="433.15pt,14.7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L1iB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" strokecolor="#004080" strokeweight=".5pt">
                <w10:wrap type="topAndBottom" anchorx="page"/>
              </v:line>
            </w:pict>
          </mc:Fallback>
        </mc:AlternateContent>
      </w:r>
      <w:r w:rsidR="00A9710C">
        <w:rPr>
          <w:rFonts w:ascii="Arial"/>
          <w:sz w:val="14"/>
        </w:rPr>
        <w:t xml:space="preserve">Email: </w:t>
      </w:r>
      <w:r w:rsidR="00F80502" w:rsidRPr="00F80502">
        <w:rPr>
          <w:rFonts w:ascii="Arial"/>
          <w:sz w:val="14"/>
        </w:rPr>
        <w:t>katsube</w:t>
      </w:r>
      <w:r w:rsidR="00F80502">
        <w:rPr>
          <w:rFonts w:ascii="Arial"/>
          <w:sz w:val="14"/>
        </w:rPr>
        <w:t>@cac.med.kyoto-u.ac.jp</w:t>
      </w:r>
    </w:p>
    <w:p w14:paraId="6C6D9E9C" w14:textId="650C184F" w:rsidR="00AE3E37" w:rsidRPr="00AC0560" w:rsidRDefault="00A9710C" w:rsidP="00AC0560">
      <w:pPr>
        <w:pStyle w:val="a3"/>
        <w:spacing w:before="2"/>
        <w:rPr>
          <w:rFonts w:ascii="Arial"/>
          <w:sz w:val="19"/>
        </w:rPr>
      </w:pPr>
      <w:r w:rsidRPr="00B21A57">
        <w:rPr>
          <w:rFonts w:ascii="Minion Pro"/>
          <w:b/>
          <w:sz w:val="20"/>
        </w:rPr>
        <w:t>Notes/Comments:</w:t>
      </w:r>
    </w:p>
    <w:p w14:paraId="446AB89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D3749BF"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AE993E" w14:textId="77777777" w:rsidR="00AB41E2" w:rsidRDefault="00AB41E2">
      <w:r>
        <w:separator/>
      </w:r>
    </w:p>
  </w:endnote>
  <w:endnote w:type="continuationSeparator" w:id="0">
    <w:p w14:paraId="5D4BEB22" w14:textId="77777777" w:rsidR="00AB41E2" w:rsidRDefault="00AB4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ＭＳ 明朝">
    <w:charset w:val="80"/>
    <w:family w:val="auto"/>
    <w:pitch w:val="variable"/>
    <w:sig w:usb0="E00002FF" w:usb1="6AC7FDFB" w:usb2="08000012" w:usb3="00000000" w:csb0="0002009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B754D8" w14:textId="4D932002" w:rsidR="00900AFE" w:rsidRDefault="00900AFE">
    <w:pPr>
      <w:pStyle w:val="a3"/>
      <w:spacing w:line="14" w:lineRule="auto"/>
      <w:rPr>
        <w:sz w:val="20"/>
      </w:rPr>
    </w:pPr>
    <w:r>
      <w:rPr>
        <w:noProof/>
        <w:lang w:eastAsia="ja-JP"/>
      </w:rPr>
      <mc:AlternateContent>
        <mc:Choice Requires="wps">
          <w:drawing>
            <wp:anchor distT="0" distB="0" distL="114300" distR="114300" simplePos="0" relativeHeight="251657728" behindDoc="1" locked="0" layoutInCell="1" allowOverlap="1" wp14:anchorId="28EE1799" wp14:editId="6F9BF857">
              <wp:simplePos x="0" y="0"/>
              <wp:positionH relativeFrom="page">
                <wp:posOffset>444500</wp:posOffset>
              </wp:positionH>
              <wp:positionV relativeFrom="page">
                <wp:posOffset>10144760</wp:posOffset>
              </wp:positionV>
              <wp:extent cx="2136140" cy="248920"/>
              <wp:effectExtent l="0" t="0" r="22860" b="50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ED15744" w14:textId="77777777" w:rsidR="00900AFE" w:rsidRPr="00340ABF" w:rsidRDefault="00900AFE">
                          <w:pPr>
                            <w:spacing w:line="184" w:lineRule="exact"/>
                            <w:ind w:left="20" w:right="-12"/>
                            <w:rPr>
                              <w:rFonts w:ascii="Arial"/>
                              <w:color w:val="FFFFFF"/>
                              <w:sz w:val="16"/>
                            </w:rPr>
                          </w:pPr>
                          <w:r w:rsidRPr="00340ABF">
                            <w:rPr>
                              <w:rFonts w:ascii="Arial"/>
                              <w:color w:val="FFFFFF"/>
                              <w:sz w:val="16"/>
                            </w:rPr>
                            <w:t>J Pain Relief</w:t>
                          </w:r>
                        </w:p>
                        <w:p w14:paraId="100D83C1" w14:textId="77777777" w:rsidR="00900AFE" w:rsidRPr="00340ABF" w:rsidRDefault="00900AFE">
                          <w:pPr>
                            <w:spacing w:before="8"/>
                            <w:ind w:left="20" w:right="-12"/>
                            <w:rPr>
                              <w:rFonts w:ascii="Arial"/>
                              <w:color w:val="FFFFFF"/>
                              <w:sz w:val="16"/>
                            </w:rPr>
                          </w:pPr>
                          <w:r w:rsidRPr="00340ABF">
                            <w:rPr>
                              <w:rFonts w:ascii="Arial"/>
                              <w:color w:val="FFFFFF"/>
                              <w:sz w:val="16"/>
                            </w:rPr>
                            <w:t xml:space="preserve">ISSN: 2167-0846 JPAR an open access </w:t>
                          </w:r>
                          <w:proofErr w:type="spellStart"/>
                          <w:r w:rsidRPr="00340ABF">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0ED15744" w14:textId="77777777" w:rsidR="00900AFE" w:rsidRPr="00340ABF" w:rsidRDefault="00900AFE">
                    <w:pPr>
                      <w:spacing w:line="184" w:lineRule="exact"/>
                      <w:ind w:left="20" w:right="-12"/>
                      <w:rPr>
                        <w:rFonts w:ascii="Arial"/>
                        <w:color w:val="FFFFFF"/>
                        <w:sz w:val="16"/>
                      </w:rPr>
                    </w:pPr>
                    <w:r w:rsidRPr="00340ABF">
                      <w:rPr>
                        <w:rFonts w:ascii="Arial"/>
                        <w:color w:val="FFFFFF"/>
                        <w:sz w:val="16"/>
                      </w:rPr>
                      <w:t>J Pain Relief</w:t>
                    </w:r>
                  </w:p>
                  <w:p w14:paraId="100D83C1" w14:textId="77777777" w:rsidR="00900AFE" w:rsidRPr="00340ABF" w:rsidRDefault="00900AFE">
                    <w:pPr>
                      <w:spacing w:before="8"/>
                      <w:ind w:left="20" w:right="-12"/>
                      <w:rPr>
                        <w:rFonts w:ascii="Arial"/>
                        <w:color w:val="FFFFFF"/>
                        <w:sz w:val="16"/>
                      </w:rPr>
                    </w:pPr>
                    <w:r w:rsidRPr="00340ABF">
                      <w:rPr>
                        <w:rFonts w:ascii="Arial"/>
                        <w:color w:val="FFFFFF"/>
                        <w:sz w:val="16"/>
                      </w:rPr>
                      <w:t xml:space="preserve">ISSN: 2167-0846 JPAR an open access </w:t>
                    </w:r>
                    <w:proofErr w:type="spellStart"/>
                    <w:r w:rsidRPr="00340ABF">
                      <w:rPr>
                        <w:rFonts w:ascii="Arial"/>
                        <w:color w:val="FFFFFF"/>
                        <w:sz w:val="16"/>
                      </w:rPr>
                      <w:t>journa</w:t>
                    </w:r>
                    <w:proofErr w:type="spellEnd"/>
                  </w:p>
                </w:txbxContent>
              </v:textbox>
              <w10:wrap anchorx="page" anchory="page"/>
            </v:shape>
          </w:pict>
        </mc:Fallback>
      </mc:AlternateContent>
    </w:r>
    <w:r>
      <w:rPr>
        <w:noProof/>
        <w:lang w:eastAsia="ja-JP"/>
      </w:rPr>
      <mc:AlternateContent>
        <mc:Choice Requires="wps">
          <w:drawing>
            <wp:anchor distT="0" distB="0" distL="114300" distR="114300" simplePos="0" relativeHeight="251658752" behindDoc="1" locked="0" layoutInCell="1" allowOverlap="1" wp14:anchorId="75EA0E78" wp14:editId="6B76659D">
              <wp:simplePos x="0" y="0"/>
              <wp:positionH relativeFrom="page">
                <wp:posOffset>3201670</wp:posOffset>
              </wp:positionH>
              <wp:positionV relativeFrom="page">
                <wp:posOffset>10147935</wp:posOffset>
              </wp:positionV>
              <wp:extent cx="1167130" cy="316865"/>
              <wp:effectExtent l="0" t="0" r="1270" b="1333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76B9952" w14:textId="77777777" w:rsidR="00900AFE" w:rsidRPr="00340ABF" w:rsidRDefault="00900AFE">
                          <w:pPr>
                            <w:spacing w:line="269" w:lineRule="exact"/>
                            <w:jc w:val="center"/>
                            <w:rPr>
                              <w:rFonts w:ascii="Impact"/>
                              <w:color w:val="FFFFFF"/>
                              <w:sz w:val="24"/>
                            </w:rPr>
                          </w:pPr>
                          <w:r w:rsidRPr="00340ABF">
                            <w:rPr>
                              <w:rFonts w:ascii="Impact"/>
                              <w:color w:val="FFFFFF"/>
                              <w:sz w:val="24"/>
                            </w:rPr>
                            <w:t>Fibromyalgia 2016</w:t>
                          </w:r>
                        </w:p>
                        <w:p w14:paraId="75E5C404" w14:textId="77777777" w:rsidR="00900AFE" w:rsidRPr="00340ABF" w:rsidRDefault="00900AFE">
                          <w:pPr>
                            <w:spacing w:before="29"/>
                            <w:jc w:val="center"/>
                            <w:rPr>
                              <w:rFonts w:ascii="Arial"/>
                              <w:color w:val="FFFFFF"/>
                              <w:sz w:val="16"/>
                            </w:rPr>
                          </w:pPr>
                          <w:r w:rsidRPr="00340ABF">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776B9952" w14:textId="77777777" w:rsidR="00900AFE" w:rsidRPr="00340ABF" w:rsidRDefault="00900AFE">
                    <w:pPr>
                      <w:spacing w:line="269" w:lineRule="exact"/>
                      <w:jc w:val="center"/>
                      <w:rPr>
                        <w:rFonts w:ascii="Impact"/>
                        <w:color w:val="FFFFFF"/>
                        <w:sz w:val="24"/>
                      </w:rPr>
                    </w:pPr>
                    <w:r w:rsidRPr="00340ABF">
                      <w:rPr>
                        <w:rFonts w:ascii="Impact"/>
                        <w:color w:val="FFFFFF"/>
                        <w:sz w:val="24"/>
                      </w:rPr>
                      <w:t>Fibromyalgia 2016</w:t>
                    </w:r>
                  </w:p>
                  <w:p w14:paraId="75E5C404" w14:textId="77777777" w:rsidR="00900AFE" w:rsidRPr="00340ABF" w:rsidRDefault="00900AFE">
                    <w:pPr>
                      <w:spacing w:before="29"/>
                      <w:jc w:val="center"/>
                      <w:rPr>
                        <w:rFonts w:ascii="Arial"/>
                        <w:color w:val="FFFFFF"/>
                        <w:sz w:val="16"/>
                      </w:rPr>
                    </w:pPr>
                    <w:r w:rsidRPr="00340ABF">
                      <w:rPr>
                        <w:rFonts w:ascii="Arial"/>
                        <w:color w:val="FFFFFF"/>
                        <w:sz w:val="16"/>
                      </w:rPr>
                      <w:t>June 15-16, 2016</w:t>
                    </w:r>
                  </w:p>
                </w:txbxContent>
              </v:textbox>
              <w10:wrap anchorx="page" anchory="page"/>
            </v:shape>
          </w:pict>
        </mc:Fallback>
      </mc:AlternateContent>
    </w:r>
    <w:r>
      <w:rPr>
        <w:noProof/>
        <w:lang w:eastAsia="ja-JP"/>
      </w:rPr>
      <mc:AlternateContent>
        <mc:Choice Requires="wps">
          <w:drawing>
            <wp:anchor distT="0" distB="0" distL="114300" distR="114300" simplePos="0" relativeHeight="251659776" behindDoc="1" locked="0" layoutInCell="1" allowOverlap="1" wp14:anchorId="76F92672" wp14:editId="3DBEF5C9">
              <wp:simplePos x="0" y="0"/>
              <wp:positionH relativeFrom="page">
                <wp:posOffset>5955030</wp:posOffset>
              </wp:positionH>
              <wp:positionV relativeFrom="page">
                <wp:posOffset>10144760</wp:posOffset>
              </wp:positionV>
              <wp:extent cx="1160780" cy="330835"/>
              <wp:effectExtent l="0" t="0" r="7620" b="247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F721F9C" w14:textId="77777777" w:rsidR="00900AFE" w:rsidRPr="00340ABF" w:rsidRDefault="00900AFE">
                          <w:pPr>
                            <w:spacing w:line="184" w:lineRule="exact"/>
                            <w:ind w:right="18"/>
                            <w:jc w:val="right"/>
                            <w:rPr>
                              <w:rFonts w:ascii="Arial"/>
                              <w:color w:val="FFFFFF"/>
                              <w:sz w:val="16"/>
                            </w:rPr>
                          </w:pPr>
                          <w:r w:rsidRPr="00340ABF">
                            <w:rPr>
                              <w:rFonts w:ascii="Arial"/>
                              <w:color w:val="FFFFFF"/>
                              <w:sz w:val="16"/>
                            </w:rPr>
                            <w:t>Volume 5, Issue 3(</w:t>
                          </w:r>
                          <w:proofErr w:type="spellStart"/>
                          <w:r w:rsidRPr="00340ABF">
                            <w:rPr>
                              <w:rFonts w:ascii="Arial"/>
                              <w:color w:val="FFFFFF"/>
                              <w:sz w:val="16"/>
                            </w:rPr>
                            <w:t>Suppl</w:t>
                          </w:r>
                          <w:proofErr w:type="spellEnd"/>
                          <w:r w:rsidRPr="00340ABF">
                            <w:rPr>
                              <w:rFonts w:ascii="Arial"/>
                              <w:color w:val="FFFFFF"/>
                              <w:sz w:val="16"/>
                            </w:rPr>
                            <w:t>)</w:t>
                          </w:r>
                        </w:p>
                        <w:p w14:paraId="38338754" w14:textId="77777777" w:rsidR="00900AFE" w:rsidRPr="00340ABF" w:rsidRDefault="00900AFE">
                          <w:pPr>
                            <w:spacing w:before="116"/>
                            <w:ind w:right="18"/>
                            <w:jc w:val="right"/>
                            <w:rPr>
                              <w:rFonts w:ascii="Minion Pro"/>
                              <w:color w:val="FFFFFF"/>
                              <w:sz w:val="16"/>
                            </w:rPr>
                          </w:pPr>
                          <w:r w:rsidRPr="00340ABF">
                            <w:rPr>
                              <w:rFonts w:ascii="Minion Pro"/>
                              <w:color w:val="FFFFFF"/>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5F721F9C" w14:textId="77777777" w:rsidR="00900AFE" w:rsidRPr="00340ABF" w:rsidRDefault="00900AFE">
                    <w:pPr>
                      <w:spacing w:line="184" w:lineRule="exact"/>
                      <w:ind w:right="18"/>
                      <w:jc w:val="right"/>
                      <w:rPr>
                        <w:rFonts w:ascii="Arial"/>
                        <w:color w:val="FFFFFF"/>
                        <w:sz w:val="16"/>
                      </w:rPr>
                    </w:pPr>
                    <w:r w:rsidRPr="00340ABF">
                      <w:rPr>
                        <w:rFonts w:ascii="Arial"/>
                        <w:color w:val="FFFFFF"/>
                        <w:sz w:val="16"/>
                      </w:rPr>
                      <w:t>Volume 5, Issue 3(</w:t>
                    </w:r>
                    <w:proofErr w:type="spellStart"/>
                    <w:r w:rsidRPr="00340ABF">
                      <w:rPr>
                        <w:rFonts w:ascii="Arial"/>
                        <w:color w:val="FFFFFF"/>
                        <w:sz w:val="16"/>
                      </w:rPr>
                      <w:t>Suppl</w:t>
                    </w:r>
                    <w:proofErr w:type="spellEnd"/>
                    <w:r w:rsidRPr="00340ABF">
                      <w:rPr>
                        <w:rFonts w:ascii="Arial"/>
                        <w:color w:val="FFFFFF"/>
                        <w:sz w:val="16"/>
                      </w:rPr>
                      <w:t>)</w:t>
                    </w:r>
                  </w:p>
                  <w:p w14:paraId="38338754" w14:textId="77777777" w:rsidR="00900AFE" w:rsidRPr="00340ABF" w:rsidRDefault="00900AFE">
                    <w:pPr>
                      <w:spacing w:before="116"/>
                      <w:ind w:right="18"/>
                      <w:jc w:val="right"/>
                      <w:rPr>
                        <w:rFonts w:ascii="Minion Pro"/>
                        <w:color w:val="FFFFFF"/>
                        <w:sz w:val="16"/>
                      </w:rPr>
                    </w:pPr>
                    <w:r w:rsidRPr="00340ABF">
                      <w:rPr>
                        <w:rFonts w:ascii="Minion Pro"/>
                        <w:color w:val="FFFFFF"/>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D16242" w14:textId="77777777" w:rsidR="00AB41E2" w:rsidRDefault="00AB41E2">
      <w:r>
        <w:separator/>
      </w:r>
    </w:p>
  </w:footnote>
  <w:footnote w:type="continuationSeparator" w:id="0">
    <w:p w14:paraId="7A6553CE" w14:textId="77777777" w:rsidR="00AB41E2" w:rsidRDefault="00AB41E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F68B6" w14:textId="18781681" w:rsidR="00900AFE" w:rsidRDefault="00900AFE">
    <w:pPr>
      <w:pStyle w:val="a3"/>
      <w:spacing w:line="14" w:lineRule="auto"/>
      <w:rPr>
        <w:sz w:val="20"/>
      </w:rPr>
    </w:pPr>
    <w:r>
      <w:rPr>
        <w:noProof/>
        <w:lang w:eastAsia="ja-JP"/>
      </w:rPr>
      <mc:AlternateContent>
        <mc:Choice Requires="wps">
          <w:drawing>
            <wp:anchor distT="0" distB="0" distL="114300" distR="114300" simplePos="0" relativeHeight="251655680" behindDoc="1" locked="0" layoutInCell="1" allowOverlap="1" wp14:anchorId="404FBD1A" wp14:editId="1061F170">
              <wp:simplePos x="0" y="0"/>
              <wp:positionH relativeFrom="page">
                <wp:posOffset>5283200</wp:posOffset>
              </wp:positionH>
              <wp:positionV relativeFrom="page">
                <wp:posOffset>330835</wp:posOffset>
              </wp:positionV>
              <wp:extent cx="1832610" cy="220980"/>
              <wp:effectExtent l="0" t="0" r="21590" b="762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C1B6A7B" w14:textId="77777777" w:rsidR="00900AFE" w:rsidRPr="00340ABF" w:rsidRDefault="00900AFE">
                          <w:pPr>
                            <w:spacing w:before="2" w:line="249" w:lineRule="auto"/>
                            <w:ind w:left="156" w:right="18" w:hanging="137"/>
                            <w:rPr>
                              <w:rFonts w:ascii="Arial"/>
                              <w:color w:val="FFFFFF"/>
                              <w:sz w:val="14"/>
                            </w:rPr>
                          </w:pPr>
                          <w:r w:rsidRPr="00340ABF">
                            <w:rPr>
                              <w:rFonts w:ascii="Arial"/>
                              <w:color w:val="FFFFFF"/>
                              <w:sz w:val="14"/>
                            </w:rPr>
                            <w:t xml:space="preserve">T </w:t>
                          </w:r>
                          <w:proofErr w:type="spellStart"/>
                          <w:r w:rsidRPr="00340ABF">
                            <w:rPr>
                              <w:rFonts w:ascii="Arial"/>
                              <w:color w:val="FFFFFF"/>
                              <w:sz w:val="14"/>
                            </w:rPr>
                            <w:t>Furuta</w:t>
                          </w:r>
                          <w:proofErr w:type="spellEnd"/>
                          <w:r w:rsidRPr="00340ABF">
                            <w:rPr>
                              <w:rFonts w:ascii="Arial"/>
                              <w:color w:val="FFFFFF"/>
                              <w:sz w:val="14"/>
                            </w:rPr>
                            <w:t xml:space="preserve"> et al., J </w:t>
                          </w:r>
                          <w:proofErr w:type="spellStart"/>
                          <w:r w:rsidRPr="00340ABF">
                            <w:rPr>
                              <w:rFonts w:ascii="Arial"/>
                              <w:color w:val="FFFFFF"/>
                              <w:sz w:val="14"/>
                            </w:rPr>
                            <w:t>Pai</w:t>
                          </w:r>
                          <w:proofErr w:type="spellEnd"/>
                          <w:r w:rsidRPr="00340ABF">
                            <w:rPr>
                              <w:rFonts w:ascii="Arial"/>
                              <w:color w:val="FFFFFF"/>
                              <w:sz w:val="14"/>
                            </w:rPr>
                            <w:t xml:space="preserve"> n Relief 2016, 5:3(</w:t>
                          </w:r>
                          <w:proofErr w:type="spellStart"/>
                          <w:r w:rsidRPr="00340ABF">
                            <w:rPr>
                              <w:rFonts w:ascii="Arial"/>
                              <w:color w:val="FFFFFF"/>
                              <w:sz w:val="14"/>
                            </w:rPr>
                            <w:t>Suppl</w:t>
                          </w:r>
                          <w:proofErr w:type="spellEnd"/>
                          <w:r w:rsidRPr="00340ABF">
                            <w:rPr>
                              <w:rFonts w:ascii="Arial"/>
                              <w:color w:val="FFFFFF"/>
                              <w:sz w:val="14"/>
                            </w:rPr>
                            <w:t xml:space="preserve">) </w:t>
                          </w:r>
                          <w:hyperlink r:id="rId1">
                            <w:r w:rsidRPr="00340ABF">
                              <w:rPr>
                                <w:rFonts w:ascii="Arial"/>
                                <w:color w:val="FFFFFF"/>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5C1B6A7B" w14:textId="77777777" w:rsidR="00900AFE" w:rsidRPr="00340ABF" w:rsidRDefault="00900AFE">
                    <w:pPr>
                      <w:spacing w:before="2" w:line="249" w:lineRule="auto"/>
                      <w:ind w:left="156" w:right="18" w:hanging="137"/>
                      <w:rPr>
                        <w:rFonts w:ascii="Arial"/>
                        <w:color w:val="FFFFFF"/>
                        <w:sz w:val="14"/>
                      </w:rPr>
                    </w:pPr>
                    <w:r w:rsidRPr="00340ABF">
                      <w:rPr>
                        <w:rFonts w:ascii="Arial"/>
                        <w:color w:val="FFFFFF"/>
                        <w:sz w:val="14"/>
                      </w:rPr>
                      <w:t xml:space="preserve">T </w:t>
                    </w:r>
                    <w:proofErr w:type="spellStart"/>
                    <w:r w:rsidRPr="00340ABF">
                      <w:rPr>
                        <w:rFonts w:ascii="Arial"/>
                        <w:color w:val="FFFFFF"/>
                        <w:sz w:val="14"/>
                      </w:rPr>
                      <w:t>Furuta</w:t>
                    </w:r>
                    <w:proofErr w:type="spellEnd"/>
                    <w:r w:rsidRPr="00340ABF">
                      <w:rPr>
                        <w:rFonts w:ascii="Arial"/>
                        <w:color w:val="FFFFFF"/>
                        <w:sz w:val="14"/>
                      </w:rPr>
                      <w:t xml:space="preserve"> et al., J </w:t>
                    </w:r>
                    <w:proofErr w:type="spellStart"/>
                    <w:r w:rsidRPr="00340ABF">
                      <w:rPr>
                        <w:rFonts w:ascii="Arial"/>
                        <w:color w:val="FFFFFF"/>
                        <w:sz w:val="14"/>
                      </w:rPr>
                      <w:t>Pai</w:t>
                    </w:r>
                    <w:proofErr w:type="spellEnd"/>
                    <w:r w:rsidRPr="00340ABF">
                      <w:rPr>
                        <w:rFonts w:ascii="Arial"/>
                        <w:color w:val="FFFFFF"/>
                        <w:sz w:val="14"/>
                      </w:rPr>
                      <w:t xml:space="preserve"> n Relief 2016, 5:3(</w:t>
                    </w:r>
                    <w:proofErr w:type="spellStart"/>
                    <w:r w:rsidRPr="00340ABF">
                      <w:rPr>
                        <w:rFonts w:ascii="Arial"/>
                        <w:color w:val="FFFFFF"/>
                        <w:sz w:val="14"/>
                      </w:rPr>
                      <w:t>Suppl</w:t>
                    </w:r>
                    <w:proofErr w:type="spellEnd"/>
                    <w:r w:rsidRPr="00340ABF">
                      <w:rPr>
                        <w:rFonts w:ascii="Arial"/>
                        <w:color w:val="FFFFFF"/>
                        <w:sz w:val="14"/>
                      </w:rPr>
                      <w:t xml:space="preserve">) </w:t>
                    </w:r>
                    <w:hyperlink r:id="rId2">
                      <w:r w:rsidRPr="00340ABF">
                        <w:rPr>
                          <w:rFonts w:ascii="Arial"/>
                          <w:color w:val="FFFFFF"/>
                          <w:sz w:val="14"/>
                        </w:rPr>
                        <w:t>http://dx.doi.org/10.4172/2167-0846.C1.006</w:t>
                      </w:r>
                    </w:hyperlink>
                  </w:p>
                </w:txbxContent>
              </v:textbox>
              <w10:wrap anchorx="page" anchory="page"/>
            </v:shape>
          </w:pict>
        </mc:Fallback>
      </mc:AlternateContent>
    </w:r>
    <w:r>
      <w:rPr>
        <w:noProof/>
        <w:lang w:eastAsia="ja-JP"/>
      </w:rPr>
      <mc:AlternateContent>
        <mc:Choice Requires="wps">
          <w:drawing>
            <wp:anchor distT="0" distB="0" distL="114300" distR="114300" simplePos="0" relativeHeight="251656704" behindDoc="1" locked="0" layoutInCell="1" allowOverlap="1" wp14:anchorId="12FE0704" wp14:editId="15A5510B">
              <wp:simplePos x="0" y="0"/>
              <wp:positionH relativeFrom="page">
                <wp:posOffset>444500</wp:posOffset>
              </wp:positionH>
              <wp:positionV relativeFrom="page">
                <wp:posOffset>613410</wp:posOffset>
              </wp:positionV>
              <wp:extent cx="6552565" cy="509270"/>
              <wp:effectExtent l="0" t="0" r="635" b="2413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F1E868B" w14:textId="77777777" w:rsidR="00900AFE" w:rsidRPr="00340ABF" w:rsidRDefault="00900AFE">
                          <w:pPr>
                            <w:pStyle w:val="a3"/>
                            <w:spacing w:line="187" w:lineRule="exact"/>
                            <w:ind w:left="20" w:right="-10"/>
                            <w:rPr>
                              <w:rFonts w:ascii="Myriad Pro"/>
                              <w:color w:val="FFFFFF"/>
                            </w:rPr>
                          </w:pPr>
                          <w:r w:rsidRPr="00340ABF">
                            <w:rPr>
                              <w:rFonts w:ascii="Myriad Pro"/>
                              <w:color w:val="FFFFFF"/>
                            </w:rPr>
                            <w:t>International Conference on</w:t>
                          </w:r>
                        </w:p>
                        <w:p w14:paraId="111C488F" w14:textId="77777777" w:rsidR="00900AFE" w:rsidRPr="00340ABF" w:rsidRDefault="00900AFE">
                          <w:pPr>
                            <w:spacing w:line="614" w:lineRule="exact"/>
                            <w:ind w:left="20" w:right="-10"/>
                            <w:rPr>
                              <w:rFonts w:ascii="Minion Pro"/>
                              <w:color w:val="FFFFFF"/>
                              <w:sz w:val="24"/>
                            </w:rPr>
                          </w:pPr>
                          <w:r w:rsidRPr="00340ABF">
                            <w:rPr>
                              <w:rFonts w:ascii="Impact"/>
                              <w:color w:val="FFFFFF"/>
                              <w:sz w:val="52"/>
                            </w:rPr>
                            <w:t xml:space="preserve">Fibromyalgia and Chronic Pain </w:t>
                          </w:r>
                          <w:r w:rsidRPr="00340ABF">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3F1E868B" w14:textId="77777777" w:rsidR="00900AFE" w:rsidRPr="00340ABF" w:rsidRDefault="00900AFE">
                    <w:pPr>
                      <w:pStyle w:val="a3"/>
                      <w:spacing w:line="187" w:lineRule="exact"/>
                      <w:ind w:left="20" w:right="-10"/>
                      <w:rPr>
                        <w:rFonts w:ascii="Myriad Pro"/>
                        <w:color w:val="FFFFFF"/>
                      </w:rPr>
                    </w:pPr>
                    <w:r w:rsidRPr="00340ABF">
                      <w:rPr>
                        <w:rFonts w:ascii="Myriad Pro"/>
                        <w:color w:val="FFFFFF"/>
                      </w:rPr>
                      <w:t>International Conference on</w:t>
                    </w:r>
                  </w:p>
                  <w:p w14:paraId="111C488F" w14:textId="77777777" w:rsidR="00900AFE" w:rsidRPr="00340ABF" w:rsidRDefault="00900AFE">
                    <w:pPr>
                      <w:spacing w:line="614" w:lineRule="exact"/>
                      <w:ind w:left="20" w:right="-10"/>
                      <w:rPr>
                        <w:rFonts w:ascii="Minion Pro"/>
                        <w:color w:val="FFFFFF"/>
                        <w:sz w:val="24"/>
                      </w:rPr>
                    </w:pPr>
                    <w:r w:rsidRPr="00340ABF">
                      <w:rPr>
                        <w:rFonts w:ascii="Impact"/>
                        <w:color w:val="FFFFFF"/>
                        <w:sz w:val="52"/>
                      </w:rPr>
                      <w:t xml:space="preserve">Fibromyalgia and Chronic Pain </w:t>
                    </w:r>
                    <w:r w:rsidRPr="00340ABF">
                      <w:rPr>
                        <w:rFonts w:ascii="Minion Pro"/>
                        <w:color w:val="FFFFFF"/>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C0513D1"/>
    <w:multiLevelType w:val="hybridMultilevel"/>
    <w:tmpl w:val="E36073B0"/>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1171E"/>
    <w:rsid w:val="00036599"/>
    <w:rsid w:val="000564D2"/>
    <w:rsid w:val="000939BF"/>
    <w:rsid w:val="000D7554"/>
    <w:rsid w:val="000E2911"/>
    <w:rsid w:val="00111C47"/>
    <w:rsid w:val="0012539D"/>
    <w:rsid w:val="001263DF"/>
    <w:rsid w:val="00160BE7"/>
    <w:rsid w:val="001D052A"/>
    <w:rsid w:val="00220E6D"/>
    <w:rsid w:val="00264B83"/>
    <w:rsid w:val="00264F94"/>
    <w:rsid w:val="00292ED9"/>
    <w:rsid w:val="002A61F8"/>
    <w:rsid w:val="002C0D63"/>
    <w:rsid w:val="002D05E3"/>
    <w:rsid w:val="002E1828"/>
    <w:rsid w:val="003318C1"/>
    <w:rsid w:val="00340ABF"/>
    <w:rsid w:val="00355608"/>
    <w:rsid w:val="0036346B"/>
    <w:rsid w:val="00381980"/>
    <w:rsid w:val="0038455F"/>
    <w:rsid w:val="00393920"/>
    <w:rsid w:val="003B0B3E"/>
    <w:rsid w:val="003B4A4E"/>
    <w:rsid w:val="004037C7"/>
    <w:rsid w:val="00404E5B"/>
    <w:rsid w:val="00411F8C"/>
    <w:rsid w:val="00414F7B"/>
    <w:rsid w:val="004355DC"/>
    <w:rsid w:val="00437A41"/>
    <w:rsid w:val="00445A4F"/>
    <w:rsid w:val="00464781"/>
    <w:rsid w:val="0046504E"/>
    <w:rsid w:val="004749B4"/>
    <w:rsid w:val="00494130"/>
    <w:rsid w:val="0049652F"/>
    <w:rsid w:val="004D2794"/>
    <w:rsid w:val="004F351E"/>
    <w:rsid w:val="004F3523"/>
    <w:rsid w:val="004F61D7"/>
    <w:rsid w:val="004F68B9"/>
    <w:rsid w:val="00560F25"/>
    <w:rsid w:val="005660BC"/>
    <w:rsid w:val="00592BC1"/>
    <w:rsid w:val="005973B9"/>
    <w:rsid w:val="005A723A"/>
    <w:rsid w:val="005B3A56"/>
    <w:rsid w:val="005D32B4"/>
    <w:rsid w:val="005D55B1"/>
    <w:rsid w:val="005E36E7"/>
    <w:rsid w:val="006060CE"/>
    <w:rsid w:val="006253A6"/>
    <w:rsid w:val="00627018"/>
    <w:rsid w:val="0063497F"/>
    <w:rsid w:val="006856F8"/>
    <w:rsid w:val="006B077C"/>
    <w:rsid w:val="006B1553"/>
    <w:rsid w:val="006E5D02"/>
    <w:rsid w:val="006F72E7"/>
    <w:rsid w:val="007154B1"/>
    <w:rsid w:val="007614EA"/>
    <w:rsid w:val="00767421"/>
    <w:rsid w:val="007A3711"/>
    <w:rsid w:val="007D0AC2"/>
    <w:rsid w:val="007D2E4C"/>
    <w:rsid w:val="007D3747"/>
    <w:rsid w:val="007D6833"/>
    <w:rsid w:val="00840875"/>
    <w:rsid w:val="00862014"/>
    <w:rsid w:val="00873DF0"/>
    <w:rsid w:val="008756E6"/>
    <w:rsid w:val="00880785"/>
    <w:rsid w:val="00880A96"/>
    <w:rsid w:val="00885FB0"/>
    <w:rsid w:val="008A027E"/>
    <w:rsid w:val="008B38C1"/>
    <w:rsid w:val="008C4B7A"/>
    <w:rsid w:val="00900AFE"/>
    <w:rsid w:val="00901387"/>
    <w:rsid w:val="00905612"/>
    <w:rsid w:val="00907132"/>
    <w:rsid w:val="00913364"/>
    <w:rsid w:val="00922B32"/>
    <w:rsid w:val="00970B3E"/>
    <w:rsid w:val="009B2D44"/>
    <w:rsid w:val="009D1293"/>
    <w:rsid w:val="009D792A"/>
    <w:rsid w:val="00A07E82"/>
    <w:rsid w:val="00A15B41"/>
    <w:rsid w:val="00A37786"/>
    <w:rsid w:val="00A66C2A"/>
    <w:rsid w:val="00A74BEB"/>
    <w:rsid w:val="00A837C1"/>
    <w:rsid w:val="00A92248"/>
    <w:rsid w:val="00A9710C"/>
    <w:rsid w:val="00AB41E2"/>
    <w:rsid w:val="00AB6E1D"/>
    <w:rsid w:val="00AB7D6C"/>
    <w:rsid w:val="00AC0560"/>
    <w:rsid w:val="00AC3E3F"/>
    <w:rsid w:val="00AE2A93"/>
    <w:rsid w:val="00AE3E37"/>
    <w:rsid w:val="00B21A57"/>
    <w:rsid w:val="00B4711D"/>
    <w:rsid w:val="00B603EC"/>
    <w:rsid w:val="00BB1A2C"/>
    <w:rsid w:val="00BC0F8D"/>
    <w:rsid w:val="00BD51EC"/>
    <w:rsid w:val="00BD5E14"/>
    <w:rsid w:val="00BF65DC"/>
    <w:rsid w:val="00C03501"/>
    <w:rsid w:val="00C32179"/>
    <w:rsid w:val="00C33602"/>
    <w:rsid w:val="00C51C5C"/>
    <w:rsid w:val="00CB72F8"/>
    <w:rsid w:val="00CC1EA2"/>
    <w:rsid w:val="00CD6F55"/>
    <w:rsid w:val="00CE02C6"/>
    <w:rsid w:val="00CF0754"/>
    <w:rsid w:val="00CF1F31"/>
    <w:rsid w:val="00D16C24"/>
    <w:rsid w:val="00D54CDC"/>
    <w:rsid w:val="00D64DB2"/>
    <w:rsid w:val="00DA3D31"/>
    <w:rsid w:val="00DC579C"/>
    <w:rsid w:val="00DE3104"/>
    <w:rsid w:val="00E16478"/>
    <w:rsid w:val="00E2603E"/>
    <w:rsid w:val="00E40F1A"/>
    <w:rsid w:val="00E60C9F"/>
    <w:rsid w:val="00EB3AC3"/>
    <w:rsid w:val="00EE5F48"/>
    <w:rsid w:val="00F02129"/>
    <w:rsid w:val="00F459C1"/>
    <w:rsid w:val="00F72EEA"/>
    <w:rsid w:val="00F80502"/>
    <w:rsid w:val="00F80D36"/>
    <w:rsid w:val="00F82803"/>
    <w:rsid w:val="00F84CAE"/>
    <w:rsid w:val="00FA6284"/>
    <w:rsid w:val="00FC1EF4"/>
    <w:rsid w:val="00FD55DD"/>
    <w:rsid w:val="00FF2EDD"/>
    <w:rsid w:val="00FF5DF9"/>
  </w:rsids>
  <m:mathPr>
    <m:mathFont m:val="Cambria Math"/>
    <m:brkBin m:val="before"/>
    <m:brkBinSub m:val="--"/>
    <m:smallFrac/>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580BB0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ＭＳ 明朝" w:hAnsi="Calibri" w:cs="Times New Roman"/>
        <w:lang w:val="en-US" w:eastAsia="ja-JP"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uiPriority w:val="1"/>
    <w:qFormat/>
    <w:rsid w:val="00CD6F55"/>
    <w:pPr>
      <w:widowControl w:val="0"/>
    </w:pPr>
    <w:rPr>
      <w:rFonts w:ascii="Tw Cen MT" w:eastAsia="Tw Cen MT" w:hAnsi="Tw Cen MT" w:cs="Tw Cen MT"/>
      <w:sz w:val="22"/>
      <w:szCs w:val="22"/>
      <w:lang w:eastAsia="en-US"/>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ヘッダー (文字)"/>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フッター (文字)"/>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吹き出し (文字)"/>
    <w:link w:val="aa"/>
    <w:uiPriority w:val="99"/>
    <w:semiHidden/>
    <w:rsid w:val="004F3523"/>
    <w:rPr>
      <w:rFonts w:ascii="Tahoma" w:eastAsia="Tw Cen MT" w:hAnsi="Tahoma" w:cs="Tahoma"/>
      <w:sz w:val="16"/>
      <w:szCs w:val="16"/>
    </w:rPr>
  </w:style>
  <w:style w:type="character" w:styleId="ac">
    <w:name w:val="Hyperlink"/>
    <w:uiPriority w:val="99"/>
    <w:unhideWhenUsed/>
    <w:rsid w:val="008756E6"/>
    <w:rPr>
      <w:color w:val="0000FF"/>
      <w:u w:val="single"/>
    </w:rPr>
  </w:style>
  <w:style w:type="character" w:customStyle="1" w:styleId="a4">
    <w:name w:val="本文 (文字)"/>
    <w:link w:val="a3"/>
    <w:uiPriority w:val="1"/>
    <w:rsid w:val="005973B9"/>
    <w:rPr>
      <w:rFonts w:ascii="Tw Cen MT" w:eastAsia="Tw Cen MT" w:hAnsi="Tw Cen MT" w:cs="Tw Cen MT"/>
      <w:sz w:val="18"/>
      <w:szCs w:val="18"/>
    </w:rPr>
  </w:style>
  <w:style w:type="character" w:styleId="ad">
    <w:name w:val="FollowedHyperlink"/>
    <w:uiPriority w:val="99"/>
    <w:semiHidden/>
    <w:unhideWhenUsed/>
    <w:rsid w:val="00F8050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96ACDC6E-AA6E-B04B-9B3F-E2938DF97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660</Words>
  <Characters>3765</Characters>
  <Application>Microsoft Macintosh Word</Application>
  <DocSecurity>0</DocSecurity>
  <Lines>31</Lines>
  <Paragraphs>8</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4417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勝部 元紀</cp:lastModifiedBy>
  <cp:revision>2</cp:revision>
  <cp:lastPrinted>2018-04-16T02:50:00Z</cp:lastPrinted>
  <dcterms:created xsi:type="dcterms:W3CDTF">2018-04-26T10:52:00Z</dcterms:created>
  <dcterms:modified xsi:type="dcterms:W3CDTF">2018-04-26T10:52:00Z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http://www.zotero.org/styles/chicago-fullnote-bibliography</vt:lpwstr>
  </property>
  <property fmtid="{D5CDD505-2E9C-101B-9397-08002B2CF9AE}" pid="16" name="Mendeley Recent Style Name 5_1">
    <vt:lpwstr>Chicago Manual of Style 16th edition (full note)</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(deprecated)</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7th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