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Role of craniofacial surgery in the alteration of general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prtocall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 of conversational dentistry after the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introduction of dental sleep medicine.</w:t>
      </w:r>
    </w:p>
    <w:p>
      <w:pPr>
        <w:numPr>
          <w:ilvl w:val="0"/>
          <w:numId w:val="0"/>
        </w:numPr>
        <w:jc w:val="both"/>
        <w:spacing w:lineRule="auto" w:line="259" w:before="0" w:after="160"/>
        <w:ind w:left="0" w:hanging="0"/>
        <w:rPr>
          <w:position w:val="0"/>
          <w:sz w:val="20"/>
          <w:szCs w:val="20"/>
          <w:rFonts w:ascii="NanumGothic" w:eastAsia="NanumGothic" w:hAnsi="NanumGothic" w:hint="default"/>
        </w:rPr>
        <w:wordWrap w:val="off"/>
      </w:pP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Now a days in the field of dental sleep medicine some changes of treatment modalities got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changed in the fields of prosthetic dentistry, orthodontics and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>peadodontics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 where a lot of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extended scope got pronounced In the field of craniofacial surgery to enhance general health and </w:t>
      </w:r>
      <w:r>
        <w:rPr>
          <w:position w:val="0"/>
          <w:sz w:val="20"/>
          <w:szCs w:val="20"/>
          <w:rFonts w:ascii="NanumGothic" w:eastAsia="NanumGothic" w:hAnsi="NanumGothic" w:hint="default"/>
        </w:rPr>
        <w:t xml:space="preserve">welfare of the patient.</w:t>
      </w:r>
    </w:p>
    <w:sectPr>
      <w:footnotePr>
        <w:numFmt w:val="decimal"/>
        <w:numRestart w:val="continuous"/>
        <w:numStart w:val="1"/>
        <w:pos w:val="pageBottom"/>
      </w:footnotePr>
      <w:endnotePr>
        <w:numFmt w:val="decimal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balanceSingleByteDoubleByteWidth/>
    <w:doNotExpandShiftReturn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/>
    </w:pPrDefault>
    <w:rPrDefault>
      <w:rPr>
        <w:shd w:val="clear"/>
        <w:sz w:val="20"/>
        <w:szCs w:val="20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0"/>
      <w:szCs w:val="20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0"/>
      <w:szCs w:val="20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69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gattgoushankrish</dc:creator>
  <cp:lastModifiedBy>gattgoushankrish</cp:lastModifiedBy>
</cp:coreProperties>
</file>