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1D4" w:rsidRPr="00CF7902" w:rsidRDefault="00CF21D4" w:rsidP="00CF21D4">
      <w:pPr>
        <w:ind w:right="-1602"/>
        <w:jc w:val="center"/>
        <w:rPr>
          <w:rFonts w:asciiTheme="majorBidi" w:eastAsia="AdvP4A6CC2" w:hAnsiTheme="majorBidi" w:cstheme="majorBidi"/>
          <w:sz w:val="36"/>
          <w:szCs w:val="36"/>
        </w:rPr>
      </w:pPr>
      <w:r w:rsidRPr="00CF7902">
        <w:rPr>
          <w:rFonts w:asciiTheme="majorBidi" w:eastAsia="AdvP4A6CC2" w:hAnsiTheme="majorBidi" w:cstheme="majorBidi"/>
          <w:b/>
          <w:sz w:val="36"/>
          <w:szCs w:val="36"/>
        </w:rPr>
        <w:t xml:space="preserve">The relationship between cephalogram analysis and oxygen desaturation index during sleep in patients submitted </w:t>
      </w:r>
      <w:r w:rsidRPr="00CF7902">
        <w:rPr>
          <w:rFonts w:asciiTheme="majorBidi" w:eastAsia="AdvP4A6CC2" w:hAnsiTheme="majorBidi" w:cstheme="majorBidi"/>
          <w:b/>
          <w:noProof/>
          <w:sz w:val="36"/>
          <w:szCs w:val="36"/>
        </w:rPr>
        <w:t>for</w:t>
      </w:r>
      <w:r w:rsidRPr="00CF7902">
        <w:rPr>
          <w:rFonts w:asciiTheme="majorBidi" w:eastAsia="AdvP4A6CC2" w:hAnsiTheme="majorBidi" w:cstheme="majorBidi"/>
          <w:b/>
          <w:sz w:val="36"/>
          <w:szCs w:val="36"/>
        </w:rPr>
        <w:t xml:space="preserve"> mandibular setback surgery</w:t>
      </w:r>
    </w:p>
    <w:p w:rsidR="00CF21D4" w:rsidRPr="00CF7902" w:rsidRDefault="00CF21D4" w:rsidP="00CF21D4">
      <w:pPr>
        <w:rPr>
          <w:rFonts w:asciiTheme="majorBidi" w:eastAsia="Calibri" w:hAnsiTheme="majorBidi" w:cstheme="majorBidi"/>
          <w:sz w:val="32"/>
        </w:rPr>
      </w:pPr>
      <w:r w:rsidRPr="00CF7902">
        <w:rPr>
          <w:rFonts w:asciiTheme="majorBidi" w:eastAsia="Calibri" w:hAnsiTheme="majorBidi" w:cstheme="majorBidi"/>
          <w:sz w:val="32"/>
        </w:rPr>
        <w:t>Abstract</w:t>
      </w:r>
    </w:p>
    <w:p w:rsidR="00CF21D4" w:rsidRPr="00CF7902" w:rsidRDefault="00CF21D4" w:rsidP="00CF21D4">
      <w:pPr>
        <w:spacing w:after="0" w:line="360" w:lineRule="auto"/>
        <w:jc w:val="both"/>
        <w:rPr>
          <w:rFonts w:asciiTheme="majorBidi" w:eastAsia="Calibri" w:hAnsiTheme="majorBidi" w:cstheme="majorBidi"/>
          <w:sz w:val="28"/>
        </w:rPr>
      </w:pPr>
      <w:r w:rsidRPr="00CF7902">
        <w:rPr>
          <w:rFonts w:asciiTheme="majorBidi" w:eastAsia="Calibri" w:hAnsiTheme="majorBidi" w:cstheme="majorBidi"/>
          <w:b/>
          <w:bCs/>
          <w:sz w:val="28"/>
        </w:rPr>
        <w:t>Objectives:</w:t>
      </w:r>
      <w:r w:rsidRPr="00CF7902">
        <w:rPr>
          <w:rFonts w:asciiTheme="majorBidi" w:hAnsiTheme="majorBidi" w:cstheme="majorBidi"/>
          <w:b/>
          <w:bCs/>
          <w:color w:val="555555"/>
          <w:sz w:val="28"/>
          <w:szCs w:val="28"/>
        </w:rPr>
        <w:t xml:space="preserve"> </w:t>
      </w:r>
      <w:r w:rsidRPr="00CF7902">
        <w:rPr>
          <w:rFonts w:asciiTheme="majorBidi" w:eastAsia="Calibri" w:hAnsiTheme="majorBidi" w:cstheme="majorBidi"/>
          <w:sz w:val="28"/>
        </w:rPr>
        <w:t>The aim of this study was to examine the relationship between morphological factors of mandibular protrusion patients and clinical indices of obstructive sleep apnea (OSA).</w:t>
      </w:r>
    </w:p>
    <w:p w:rsidR="00CF21D4" w:rsidRPr="00CF7902" w:rsidRDefault="00CF21D4" w:rsidP="00CF21D4">
      <w:pPr>
        <w:spacing w:after="0" w:line="360" w:lineRule="auto"/>
        <w:jc w:val="both"/>
        <w:rPr>
          <w:rFonts w:asciiTheme="majorBidi" w:eastAsia="Calibri" w:hAnsiTheme="majorBidi" w:cstheme="majorBidi"/>
          <w:sz w:val="28"/>
        </w:rPr>
      </w:pPr>
      <w:r w:rsidRPr="00CF7902">
        <w:rPr>
          <w:rFonts w:asciiTheme="majorBidi" w:eastAsia="Calibri" w:hAnsiTheme="majorBidi" w:cstheme="majorBidi"/>
          <w:b/>
          <w:bCs/>
          <w:sz w:val="28"/>
        </w:rPr>
        <w:t>Methods:</w:t>
      </w:r>
      <w:r w:rsidRPr="00CF7902">
        <w:rPr>
          <w:rFonts w:asciiTheme="majorBidi" w:hAnsiTheme="majorBidi" w:cstheme="majorBidi"/>
          <w:b/>
          <w:bCs/>
          <w:color w:val="555555"/>
          <w:sz w:val="28"/>
          <w:szCs w:val="28"/>
        </w:rPr>
        <w:t xml:space="preserve"> </w:t>
      </w:r>
      <w:r w:rsidRPr="00CF7902">
        <w:rPr>
          <w:rFonts w:asciiTheme="majorBidi" w:eastAsia="Calibri" w:hAnsiTheme="majorBidi" w:cstheme="majorBidi"/>
          <w:sz w:val="28"/>
        </w:rPr>
        <w:t xml:space="preserve">52 Japanese patients divided into 2 groups: one jaw surgery group (30 cases) and two jaw surgery group (22 cases). Morphological changes were studied using cephalograms taken before surgery and 1 year after surgery. Functional changes studied using IOS (impulse oscillometry) </w:t>
      </w:r>
      <w:r w:rsidRPr="00CF7902">
        <w:rPr>
          <w:rFonts w:asciiTheme="majorBidi" w:eastAsia="Calibri" w:hAnsiTheme="majorBidi" w:cstheme="majorBidi"/>
          <w:noProof/>
          <w:sz w:val="28"/>
        </w:rPr>
        <w:t>and pulse</w:t>
      </w:r>
      <w:r w:rsidRPr="00CF7902">
        <w:rPr>
          <w:rFonts w:asciiTheme="majorBidi" w:eastAsia="Calibri" w:hAnsiTheme="majorBidi" w:cstheme="majorBidi"/>
          <w:sz w:val="28"/>
        </w:rPr>
        <w:t xml:space="preserve"> </w:t>
      </w:r>
      <w:r w:rsidRPr="00CF7902">
        <w:rPr>
          <w:rFonts w:asciiTheme="majorBidi" w:eastAsia="Calibri" w:hAnsiTheme="majorBidi" w:cstheme="majorBidi"/>
          <w:noProof/>
          <w:sz w:val="28"/>
        </w:rPr>
        <w:t>oximetry</w:t>
      </w:r>
      <w:r w:rsidRPr="00CF7902">
        <w:rPr>
          <w:rFonts w:asciiTheme="majorBidi" w:eastAsia="Calibri" w:hAnsiTheme="majorBidi" w:cstheme="majorBidi"/>
          <w:sz w:val="28"/>
        </w:rPr>
        <w:t xml:space="preserve"> during sleep, both of which are clinically useful measures in assessing OSA, taken before surgery and 1 year after surgery. </w:t>
      </w:r>
    </w:p>
    <w:p w:rsidR="00CF21D4" w:rsidRPr="00CF7902" w:rsidRDefault="00CF21D4" w:rsidP="00CF21D4">
      <w:pPr>
        <w:spacing w:line="360" w:lineRule="auto"/>
        <w:jc w:val="both"/>
        <w:rPr>
          <w:rFonts w:asciiTheme="majorBidi" w:eastAsia="Calibri" w:hAnsiTheme="majorBidi" w:cstheme="majorBidi"/>
          <w:sz w:val="28"/>
        </w:rPr>
      </w:pPr>
      <w:r w:rsidRPr="00CF7902">
        <w:rPr>
          <w:rFonts w:asciiTheme="majorBidi" w:eastAsia="Calibri" w:hAnsiTheme="majorBidi" w:cstheme="majorBidi"/>
          <w:b/>
          <w:bCs/>
          <w:sz w:val="28"/>
        </w:rPr>
        <w:t>Result:</w:t>
      </w:r>
      <w:r w:rsidRPr="00CF7902">
        <w:rPr>
          <w:rFonts w:asciiTheme="majorBidi" w:eastAsia="Calibri" w:hAnsiTheme="majorBidi" w:cstheme="majorBidi"/>
          <w:sz w:val="28"/>
        </w:rPr>
        <w:t xml:space="preserve"> Lower face cage area significantly decreased in one jaw group than in two jaw group patients. </w:t>
      </w:r>
      <w:r w:rsidRPr="00CF7902">
        <w:rPr>
          <w:rFonts w:asciiTheme="majorBidi" w:eastAsia="Calibri" w:hAnsiTheme="majorBidi" w:cstheme="majorBidi"/>
          <w:noProof/>
          <w:sz w:val="28"/>
        </w:rPr>
        <w:t>Positive</w:t>
      </w:r>
      <w:r w:rsidRPr="00CF7902">
        <w:rPr>
          <w:rFonts w:asciiTheme="majorBidi" w:eastAsia="Calibri" w:hAnsiTheme="majorBidi" w:cstheme="majorBidi"/>
          <w:sz w:val="28"/>
        </w:rPr>
        <w:t xml:space="preserve"> significant correlation was found between changes in 3% oxygen desaturation index (ODI) and changes of tongue area and vertical position of the hyoid bone in one jaw surgery group. Multiple regression analysis indicates that tongue area and airway area were independently significant predictors of 3%ODI in one jaw group patients. </w:t>
      </w:r>
    </w:p>
    <w:p w:rsidR="00CF21D4" w:rsidRPr="00CF7902" w:rsidRDefault="00CF21D4" w:rsidP="00CF21D4">
      <w:pPr>
        <w:spacing w:line="360" w:lineRule="auto"/>
        <w:jc w:val="both"/>
        <w:rPr>
          <w:rFonts w:asciiTheme="majorBidi" w:eastAsia="Calibri" w:hAnsiTheme="majorBidi" w:cstheme="majorBidi"/>
          <w:sz w:val="28"/>
        </w:rPr>
      </w:pPr>
      <w:r w:rsidRPr="00CF7902">
        <w:rPr>
          <w:rFonts w:asciiTheme="majorBidi" w:eastAsia="Calibri" w:hAnsiTheme="majorBidi" w:cstheme="majorBidi"/>
          <w:b/>
          <w:bCs/>
          <w:sz w:val="28"/>
        </w:rPr>
        <w:t>Conclusion:</w:t>
      </w:r>
      <w:r w:rsidRPr="00CF7902">
        <w:rPr>
          <w:rFonts w:asciiTheme="majorBidi" w:eastAsia="Calibri" w:hAnsiTheme="majorBidi" w:cstheme="majorBidi"/>
          <w:sz w:val="28"/>
        </w:rPr>
        <w:t xml:space="preserve"> In two jaw surgery, maxillary surgery compensated for the effect of mandibular setback surgery. Mandibular setback surgery to mandibular protrusion patients was performed within the range of adequate movement distance, but precautions for risk of postoperative OSAS should be considered.</w:t>
      </w:r>
    </w:p>
    <w:p w:rsidR="00F5142F" w:rsidRDefault="00F5142F"/>
    <w:sectPr w:rsidR="00F5142F" w:rsidSect="00F5142F">
      <w:pgSz w:w="12240" w:h="15840"/>
      <w:pgMar w:top="1985" w:right="1701" w:bottom="170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P4A6CC2">
    <w:altName w:val="Times New Roman"/>
    <w:panose1 w:val="00000000000000000000"/>
    <w:charset w:val="00"/>
    <w:family w:val="roman"/>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docVars>
    <w:docVar w:name="__Grammarly_42____i" w:val="H4sIAAAAAAAEAKtWckksSQxILCpxzi/NK1GyMqwFAAEhoTITAAAA"/>
    <w:docVar w:name="__Grammarly_42___1" w:val="H4sIAAAAAAAEAKtWcslP9kxRslIyNDY0MTM0tjA1srAwMjI3sjRU0lEKTi0uzszPAykwrAUAgQJAvCwAAAA="/>
  </w:docVars>
  <w:rsids>
    <w:rsidRoot w:val="00CF21D4"/>
    <w:rsid w:val="000C0AD4"/>
    <w:rsid w:val="00113C2A"/>
    <w:rsid w:val="00207A26"/>
    <w:rsid w:val="002D2048"/>
    <w:rsid w:val="002F07E8"/>
    <w:rsid w:val="00342AD9"/>
    <w:rsid w:val="004131EB"/>
    <w:rsid w:val="004465A1"/>
    <w:rsid w:val="004768E6"/>
    <w:rsid w:val="004B09C9"/>
    <w:rsid w:val="00515D65"/>
    <w:rsid w:val="00593AB2"/>
    <w:rsid w:val="006C5FED"/>
    <w:rsid w:val="007B26A3"/>
    <w:rsid w:val="008B5990"/>
    <w:rsid w:val="00AC5290"/>
    <w:rsid w:val="00AD055D"/>
    <w:rsid w:val="00CF21D4"/>
    <w:rsid w:val="00DB5D81"/>
    <w:rsid w:val="00E03ADA"/>
    <w:rsid w:val="00E42AA9"/>
    <w:rsid w:val="00F5142F"/>
    <w:rsid w:val="00F54317"/>
    <w:rsid w:val="00FC2539"/>
    <w:rsid w:val="00FE34B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2017-08-02T09:08:00Z</dcterms:created>
  <dcterms:modified xsi:type="dcterms:W3CDTF">2017-08-02T09:08:00Z</dcterms:modified>
</cp:coreProperties>
</file>