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EE5" w:rsidRPr="009B5988" w:rsidRDefault="002D1EE5" w:rsidP="002D1EE5">
      <w:pPr>
        <w:pStyle w:val="a3"/>
        <w:tabs>
          <w:tab w:val="left" w:pos="1418"/>
        </w:tabs>
        <w:spacing w:line="480" w:lineRule="auto"/>
        <w:rPr>
          <w:rFonts w:ascii="Times New Roman" w:hAnsi="Times New Roman" w:cs="Times New Roman"/>
          <w:b/>
          <w:szCs w:val="20"/>
        </w:rPr>
      </w:pPr>
      <w:r w:rsidRPr="009B5988">
        <w:rPr>
          <w:rFonts w:ascii="Times New Roman" w:hAnsi="Times New Roman" w:cs="Times New Roman"/>
          <w:b/>
          <w:szCs w:val="20"/>
        </w:rPr>
        <w:t xml:space="preserve">Overall and disease-specific survival outcomes following primary surgery for oral squamous cell carcinoma: analysis of consecutive 67 patients </w:t>
      </w:r>
    </w:p>
    <w:p w:rsidR="002D1EE5" w:rsidRPr="00433BCA" w:rsidRDefault="008B447D" w:rsidP="002D1EE5">
      <w:pPr>
        <w:pStyle w:val="a3"/>
        <w:spacing w:line="480" w:lineRule="auto"/>
        <w:rPr>
          <w:rFonts w:ascii="Times New Roman" w:hAnsi="Times New Roman" w:cs="Times New Roman"/>
          <w:szCs w:val="20"/>
        </w:rPr>
      </w:pPr>
      <w:proofErr w:type="spellStart"/>
      <w:r>
        <w:rPr>
          <w:rFonts w:ascii="Times New Roman" w:hAnsi="Times New Roman" w:cs="Times New Roman" w:hint="eastAsia"/>
          <w:szCs w:val="20"/>
        </w:rPr>
        <w:t>Myoung</w:t>
      </w:r>
      <w:proofErr w:type="spellEnd"/>
      <w:r>
        <w:rPr>
          <w:rFonts w:ascii="Times New Roman" w:hAnsi="Times New Roman" w:cs="Times New Roman" w:hint="eastAsia"/>
          <w:szCs w:val="20"/>
        </w:rPr>
        <w:t xml:space="preserve">-Sang You DDS, MSD, </w:t>
      </w:r>
      <w:r w:rsidR="002D1EE5" w:rsidRPr="00433BCA">
        <w:rPr>
          <w:rFonts w:ascii="Times New Roman" w:hAnsi="Times New Roman" w:cs="Times New Roman"/>
          <w:szCs w:val="20"/>
        </w:rPr>
        <w:t xml:space="preserve">Kang-Min </w:t>
      </w:r>
      <w:proofErr w:type="spellStart"/>
      <w:r w:rsidR="002D1EE5" w:rsidRPr="00433BCA">
        <w:rPr>
          <w:rFonts w:ascii="Times New Roman" w:hAnsi="Times New Roman" w:cs="Times New Roman"/>
          <w:szCs w:val="20"/>
        </w:rPr>
        <w:t>Ahn</w:t>
      </w:r>
      <w:proofErr w:type="spellEnd"/>
      <w:r>
        <w:rPr>
          <w:rFonts w:ascii="Times New Roman" w:hAnsi="Times New Roman" w:cs="Times New Roman" w:hint="eastAsia"/>
          <w:szCs w:val="20"/>
        </w:rPr>
        <w:t xml:space="preserve"> DDS, MSD, PhD</w:t>
      </w:r>
      <w:bookmarkStart w:id="0" w:name="_GoBack"/>
      <w:bookmarkEnd w:id="0"/>
    </w:p>
    <w:p w:rsidR="002D1EE5" w:rsidRPr="00433BCA" w:rsidRDefault="002D1EE5" w:rsidP="002D1EE5">
      <w:pPr>
        <w:pStyle w:val="a3"/>
        <w:spacing w:line="480" w:lineRule="auto"/>
        <w:rPr>
          <w:rFonts w:ascii="Times New Roman" w:hAnsi="Times New Roman" w:cs="Times New Roman"/>
          <w:szCs w:val="20"/>
        </w:rPr>
      </w:pPr>
      <w:r w:rsidRPr="00433BCA">
        <w:rPr>
          <w:rFonts w:ascii="Times New Roman" w:hAnsi="Times New Roman" w:cs="Times New Roman"/>
          <w:szCs w:val="20"/>
        </w:rPr>
        <w:t xml:space="preserve">Department of Oral and Maxillofacial Surgery, College of Medicine, University of Ulsan, </w:t>
      </w:r>
      <w:proofErr w:type="spellStart"/>
      <w:r w:rsidRPr="00433BCA">
        <w:rPr>
          <w:rFonts w:ascii="Times New Roman" w:hAnsi="Times New Roman" w:cs="Times New Roman"/>
          <w:szCs w:val="20"/>
        </w:rPr>
        <w:t>Asan</w:t>
      </w:r>
      <w:proofErr w:type="spellEnd"/>
      <w:r w:rsidRPr="00433BCA">
        <w:rPr>
          <w:rFonts w:ascii="Times New Roman" w:hAnsi="Times New Roman" w:cs="Times New Roman"/>
          <w:szCs w:val="20"/>
        </w:rPr>
        <w:t xml:space="preserve"> Medical Center</w:t>
      </w:r>
    </w:p>
    <w:p w:rsidR="002D1EE5" w:rsidRPr="00433BCA" w:rsidRDefault="002D1EE5" w:rsidP="002D1EE5">
      <w:pPr>
        <w:pStyle w:val="a3"/>
        <w:spacing w:line="480" w:lineRule="auto"/>
        <w:rPr>
          <w:rFonts w:ascii="Times New Roman" w:hAnsi="Times New Roman" w:cs="Times New Roman"/>
          <w:szCs w:val="20"/>
        </w:rPr>
      </w:pPr>
    </w:p>
    <w:p w:rsidR="002D1EE5" w:rsidRPr="00433BCA" w:rsidRDefault="002D1EE5" w:rsidP="002D1EE5">
      <w:pPr>
        <w:pStyle w:val="a3"/>
        <w:spacing w:line="480" w:lineRule="auto"/>
        <w:rPr>
          <w:rFonts w:ascii="Times New Roman" w:hAnsi="Times New Roman" w:cs="Times New Roman"/>
          <w:szCs w:val="20"/>
        </w:rPr>
      </w:pPr>
      <w:r w:rsidRPr="00433BCA">
        <w:rPr>
          <w:rFonts w:ascii="Times New Roman" w:hAnsi="Times New Roman" w:cs="Times New Roman"/>
          <w:szCs w:val="20"/>
        </w:rPr>
        <w:t>Abstract</w:t>
      </w:r>
    </w:p>
    <w:p w:rsidR="002D1EE5" w:rsidRPr="00433BCA" w:rsidRDefault="002D1EE5" w:rsidP="002D1EE5">
      <w:pPr>
        <w:pStyle w:val="a3"/>
        <w:spacing w:line="480" w:lineRule="auto"/>
        <w:rPr>
          <w:rFonts w:ascii="Times New Roman" w:hAnsi="Times New Roman" w:cs="Times New Roman"/>
          <w:szCs w:val="20"/>
        </w:rPr>
      </w:pPr>
      <w:r w:rsidRPr="00991D5E">
        <w:rPr>
          <w:rFonts w:ascii="Times New Roman" w:hAnsi="Times New Roman" w:cs="Times New Roman"/>
          <w:b/>
          <w:szCs w:val="20"/>
        </w:rPr>
        <w:t>Objectives</w:t>
      </w:r>
      <w:r w:rsidRPr="00433BCA">
        <w:rPr>
          <w:rFonts w:ascii="Times New Roman" w:hAnsi="Times New Roman" w:cs="Times New Roman"/>
          <w:szCs w:val="20"/>
        </w:rPr>
        <w:t>: The purpose of this study was to evaluate the predictive factors for survival of oral squamous cell carcinoma (OSCC) and investigate the overall and disease-specific survival outcomes of consecutive 67 primary OSCC patients who underwent operation in a single institution.</w:t>
      </w:r>
    </w:p>
    <w:p w:rsidR="002D1EE5" w:rsidRPr="00433BCA" w:rsidRDefault="002D1EE5" w:rsidP="002D1EE5">
      <w:pPr>
        <w:pStyle w:val="a3"/>
        <w:spacing w:line="480" w:lineRule="auto"/>
        <w:rPr>
          <w:rFonts w:ascii="Times New Roman" w:hAnsi="Times New Roman" w:cs="Times New Roman"/>
          <w:szCs w:val="20"/>
        </w:rPr>
      </w:pPr>
      <w:r w:rsidRPr="00991D5E">
        <w:rPr>
          <w:rFonts w:ascii="Times New Roman" w:hAnsi="Times New Roman" w:cs="Times New Roman"/>
          <w:b/>
          <w:szCs w:val="20"/>
        </w:rPr>
        <w:t>Materials and methods</w:t>
      </w:r>
      <w:r w:rsidRPr="00433BCA">
        <w:rPr>
          <w:rFonts w:ascii="Times New Roman" w:hAnsi="Times New Roman" w:cs="Times New Roman"/>
          <w:szCs w:val="20"/>
        </w:rPr>
        <w:t xml:space="preserve">: A total of 67 consecutive patients who underwent operation due to OSCC from January 2006 to September 2014 were included in this study. Patients were classified according to age, sex, </w:t>
      </w:r>
      <w:proofErr w:type="spellStart"/>
      <w:r w:rsidRPr="00433BCA">
        <w:rPr>
          <w:rFonts w:ascii="Times New Roman" w:hAnsi="Times New Roman" w:cs="Times New Roman"/>
          <w:szCs w:val="20"/>
        </w:rPr>
        <w:t>pTNM</w:t>
      </w:r>
      <w:proofErr w:type="spellEnd"/>
      <w:r w:rsidRPr="00433BCA">
        <w:rPr>
          <w:rFonts w:ascii="Times New Roman" w:hAnsi="Times New Roman" w:cs="Times New Roman"/>
          <w:szCs w:val="20"/>
        </w:rPr>
        <w:t xml:space="preserve"> stages, primary sites, smoking and alcohol drinking habits, depth of invasion, perineural and lymphovascular invasion</w:t>
      </w:r>
      <w:r>
        <w:rPr>
          <w:rFonts w:ascii="Times New Roman" w:hAnsi="Times New Roman" w:cs="Times New Roman"/>
          <w:szCs w:val="20"/>
        </w:rPr>
        <w:t>, c</w:t>
      </w:r>
      <w:r w:rsidRPr="00433BCA">
        <w:rPr>
          <w:rFonts w:ascii="Times New Roman" w:hAnsi="Times New Roman" w:cs="Times New Roman"/>
          <w:szCs w:val="20"/>
        </w:rPr>
        <w:t>ell differentiation</w:t>
      </w:r>
      <w:r>
        <w:rPr>
          <w:rFonts w:ascii="Times New Roman" w:hAnsi="Times New Roman" w:cs="Times New Roman"/>
          <w:szCs w:val="20"/>
        </w:rPr>
        <w:t xml:space="preserve"> and postoperative radiotherapy</w:t>
      </w:r>
      <w:r w:rsidRPr="00433BCA">
        <w:rPr>
          <w:rFonts w:ascii="Times New Roman" w:hAnsi="Times New Roman" w:cs="Times New Roman"/>
          <w:szCs w:val="20"/>
        </w:rPr>
        <w:t xml:space="preserve">. Kaplan-Meier methods were used to estimate the disease-specific and overall survival by patient’s groups and the log-rank test was used to compare survival curves. Cox regression methods were used to investigate the main independent predictors of survival. The </w:t>
      </w:r>
      <w:r w:rsidRPr="00433BCA">
        <w:rPr>
          <w:rFonts w:ascii="Times New Roman" w:eastAsiaTheme="minorHAnsi" w:hAnsi="Times New Roman" w:cs="Times New Roman"/>
          <w:szCs w:val="20"/>
        </w:rPr>
        <w:t>χ</w:t>
      </w:r>
      <w:r w:rsidRPr="00433BCA">
        <w:rPr>
          <w:rFonts w:ascii="Times New Roman" w:hAnsi="Times New Roman" w:cs="Times New Roman"/>
          <w:szCs w:val="20"/>
          <w:vertAlign w:val="superscript"/>
        </w:rPr>
        <w:t xml:space="preserve">2 </w:t>
      </w:r>
      <w:r w:rsidRPr="00433BCA">
        <w:rPr>
          <w:rFonts w:ascii="Times New Roman" w:hAnsi="Times New Roman" w:cs="Times New Roman"/>
          <w:szCs w:val="20"/>
        </w:rPr>
        <w:t>test was used to assess differences between the variables and odds ratios were calculated.</w:t>
      </w:r>
      <w:r>
        <w:rPr>
          <w:rFonts w:ascii="Times New Roman" w:hAnsi="Times New Roman" w:cs="Times New Roman"/>
          <w:szCs w:val="20"/>
        </w:rPr>
        <w:t xml:space="preserve"> </w:t>
      </w:r>
    </w:p>
    <w:p w:rsidR="002D1EE5" w:rsidRPr="00433BCA" w:rsidRDefault="002D1EE5" w:rsidP="002D1EE5">
      <w:pPr>
        <w:pStyle w:val="a3"/>
        <w:spacing w:line="480" w:lineRule="auto"/>
        <w:rPr>
          <w:rFonts w:ascii="Times New Roman" w:hAnsi="Times New Roman" w:cs="Times New Roman"/>
          <w:szCs w:val="20"/>
        </w:rPr>
      </w:pPr>
      <w:r w:rsidRPr="00991D5E">
        <w:rPr>
          <w:rFonts w:ascii="Times New Roman" w:hAnsi="Times New Roman" w:cs="Times New Roman"/>
          <w:b/>
          <w:szCs w:val="20"/>
        </w:rPr>
        <w:t>Results</w:t>
      </w:r>
      <w:r w:rsidRPr="00433BCA">
        <w:rPr>
          <w:rFonts w:ascii="Times New Roman" w:hAnsi="Times New Roman" w:cs="Times New Roman"/>
          <w:szCs w:val="20"/>
        </w:rPr>
        <w:t xml:space="preserve">: A total of 19 patients died of OSCC during follow-up periods. Another </w:t>
      </w:r>
      <w:r>
        <w:rPr>
          <w:rFonts w:ascii="Times New Roman" w:hAnsi="Times New Roman" w:cs="Times New Roman"/>
          <w:szCs w:val="20"/>
        </w:rPr>
        <w:t>five</w:t>
      </w:r>
      <w:r w:rsidRPr="00433BCA">
        <w:rPr>
          <w:rFonts w:ascii="Times New Roman" w:hAnsi="Times New Roman" w:cs="Times New Roman"/>
          <w:szCs w:val="20"/>
        </w:rPr>
        <w:t xml:space="preserve"> patients died of other diseases such as lung adenocarcinoma</w:t>
      </w:r>
      <w:r>
        <w:rPr>
          <w:rFonts w:ascii="Times New Roman" w:hAnsi="Times New Roman" w:cs="Times New Roman"/>
          <w:szCs w:val="20"/>
        </w:rPr>
        <w:t xml:space="preserve"> (n=1)</w:t>
      </w:r>
      <w:r w:rsidRPr="00433BCA">
        <w:rPr>
          <w:rFonts w:ascii="Times New Roman" w:hAnsi="Times New Roman" w:cs="Times New Roman"/>
          <w:szCs w:val="20"/>
        </w:rPr>
        <w:t xml:space="preserve">, cerebral </w:t>
      </w:r>
      <w:proofErr w:type="gramStart"/>
      <w:r w:rsidRPr="00433BCA">
        <w:rPr>
          <w:rFonts w:ascii="Times New Roman" w:hAnsi="Times New Roman" w:cs="Times New Roman"/>
          <w:szCs w:val="20"/>
        </w:rPr>
        <w:t>infarction</w:t>
      </w:r>
      <w:r>
        <w:rPr>
          <w:rFonts w:ascii="Times New Roman" w:hAnsi="Times New Roman" w:cs="Times New Roman"/>
          <w:szCs w:val="20"/>
        </w:rPr>
        <w:t>(</w:t>
      </w:r>
      <w:proofErr w:type="gramEnd"/>
      <w:r>
        <w:rPr>
          <w:rFonts w:ascii="Times New Roman" w:hAnsi="Times New Roman" w:cs="Times New Roman"/>
          <w:szCs w:val="20"/>
        </w:rPr>
        <w:t>n=1), general weakness (n=2)</w:t>
      </w:r>
      <w:r w:rsidRPr="00433BCA">
        <w:rPr>
          <w:rFonts w:ascii="Times New Roman" w:hAnsi="Times New Roman" w:cs="Times New Roman"/>
          <w:szCs w:val="20"/>
        </w:rPr>
        <w:t xml:space="preserve"> and pneumonia</w:t>
      </w:r>
      <w:r>
        <w:rPr>
          <w:rFonts w:ascii="Times New Roman" w:hAnsi="Times New Roman" w:cs="Times New Roman"/>
          <w:szCs w:val="20"/>
        </w:rPr>
        <w:t>(n=1)</w:t>
      </w:r>
      <w:r w:rsidRPr="00433BCA">
        <w:rPr>
          <w:rFonts w:ascii="Times New Roman" w:hAnsi="Times New Roman" w:cs="Times New Roman"/>
          <w:szCs w:val="20"/>
        </w:rPr>
        <w:t>. Tongue cancer (</w:t>
      </w:r>
      <w:r>
        <w:rPr>
          <w:rFonts w:ascii="Times New Roman" w:hAnsi="Times New Roman" w:cs="Times New Roman" w:hint="eastAsia"/>
          <w:szCs w:val="20"/>
        </w:rPr>
        <w:t>n=</w:t>
      </w:r>
      <w:r w:rsidRPr="00433BCA">
        <w:rPr>
          <w:rFonts w:ascii="Times New Roman" w:hAnsi="Times New Roman" w:cs="Times New Roman"/>
          <w:szCs w:val="20"/>
        </w:rPr>
        <w:t>16) was most common sites for primary origin followed by buccal mucosa (</w:t>
      </w:r>
      <w:r>
        <w:rPr>
          <w:rFonts w:ascii="Times New Roman" w:hAnsi="Times New Roman" w:cs="Times New Roman" w:hint="eastAsia"/>
          <w:szCs w:val="20"/>
        </w:rPr>
        <w:t>n=</w:t>
      </w:r>
      <w:r w:rsidRPr="00433BCA">
        <w:rPr>
          <w:rFonts w:ascii="Times New Roman" w:hAnsi="Times New Roman" w:cs="Times New Roman"/>
          <w:szCs w:val="20"/>
        </w:rPr>
        <w:t>15), mandibular gingiva (</w:t>
      </w:r>
      <w:r>
        <w:rPr>
          <w:rFonts w:ascii="Times New Roman" w:hAnsi="Times New Roman" w:cs="Times New Roman" w:hint="eastAsia"/>
          <w:szCs w:val="20"/>
        </w:rPr>
        <w:t>n=</w:t>
      </w:r>
      <w:r w:rsidRPr="00433BCA">
        <w:rPr>
          <w:rFonts w:ascii="Times New Roman" w:hAnsi="Times New Roman" w:cs="Times New Roman"/>
          <w:szCs w:val="20"/>
        </w:rPr>
        <w:t>15), maxillary gingiva (</w:t>
      </w:r>
      <w:r>
        <w:rPr>
          <w:rFonts w:ascii="Times New Roman" w:hAnsi="Times New Roman" w:cs="Times New Roman" w:hint="eastAsia"/>
          <w:szCs w:val="20"/>
        </w:rPr>
        <w:t>n=</w:t>
      </w:r>
      <w:r w:rsidRPr="00433BCA">
        <w:rPr>
          <w:rFonts w:ascii="Times New Roman" w:hAnsi="Times New Roman" w:cs="Times New Roman"/>
          <w:szCs w:val="20"/>
        </w:rPr>
        <w:t>9), floor of mouth (</w:t>
      </w:r>
      <w:r>
        <w:rPr>
          <w:rFonts w:ascii="Times New Roman" w:hAnsi="Times New Roman" w:cs="Times New Roman" w:hint="eastAsia"/>
          <w:szCs w:val="20"/>
        </w:rPr>
        <w:t>n=</w:t>
      </w:r>
      <w:r w:rsidRPr="00433BCA">
        <w:rPr>
          <w:rFonts w:ascii="Times New Roman" w:hAnsi="Times New Roman" w:cs="Times New Roman"/>
          <w:szCs w:val="20"/>
        </w:rPr>
        <w:t>9), retromolar trigone (</w:t>
      </w:r>
      <w:r>
        <w:rPr>
          <w:rFonts w:ascii="Times New Roman" w:hAnsi="Times New Roman" w:cs="Times New Roman" w:hint="eastAsia"/>
          <w:szCs w:val="20"/>
        </w:rPr>
        <w:t>n=</w:t>
      </w:r>
      <w:r w:rsidRPr="00433BCA">
        <w:rPr>
          <w:rFonts w:ascii="Times New Roman" w:hAnsi="Times New Roman" w:cs="Times New Roman"/>
          <w:szCs w:val="20"/>
        </w:rPr>
        <w:t>2) and palate (</w:t>
      </w:r>
      <w:r>
        <w:rPr>
          <w:rFonts w:ascii="Times New Roman" w:hAnsi="Times New Roman" w:cs="Times New Roman" w:hint="eastAsia"/>
          <w:szCs w:val="20"/>
        </w:rPr>
        <w:t>n=</w:t>
      </w:r>
      <w:r w:rsidRPr="00433BCA">
        <w:rPr>
          <w:rFonts w:ascii="Times New Roman" w:hAnsi="Times New Roman" w:cs="Times New Roman"/>
          <w:szCs w:val="20"/>
        </w:rPr>
        <w:t>1). TNM stage I was 11 patients followed by stage II (</w:t>
      </w:r>
      <w:r>
        <w:rPr>
          <w:rFonts w:ascii="Times New Roman" w:hAnsi="Times New Roman" w:cs="Times New Roman" w:hint="eastAsia"/>
          <w:szCs w:val="20"/>
        </w:rPr>
        <w:t>n=</w:t>
      </w:r>
      <w:r w:rsidRPr="00433BCA">
        <w:rPr>
          <w:rFonts w:ascii="Times New Roman" w:hAnsi="Times New Roman" w:cs="Times New Roman"/>
          <w:szCs w:val="20"/>
        </w:rPr>
        <w:t>22), and stage IV (</w:t>
      </w:r>
      <w:r>
        <w:rPr>
          <w:rFonts w:ascii="Times New Roman" w:hAnsi="Times New Roman" w:cs="Times New Roman" w:hint="eastAsia"/>
          <w:szCs w:val="20"/>
        </w:rPr>
        <w:t>n=</w:t>
      </w:r>
      <w:r w:rsidRPr="00433BCA">
        <w:rPr>
          <w:rFonts w:ascii="Times New Roman" w:hAnsi="Times New Roman" w:cs="Times New Roman"/>
          <w:szCs w:val="20"/>
        </w:rPr>
        <w:t xml:space="preserve">34). </w:t>
      </w:r>
      <w:r>
        <w:rPr>
          <w:rFonts w:ascii="Times New Roman" w:hAnsi="Times New Roman" w:cs="Times New Roman"/>
          <w:szCs w:val="20"/>
        </w:rPr>
        <w:t xml:space="preserve">Stage III was not found in this study. </w:t>
      </w:r>
      <w:r w:rsidRPr="00433BCA">
        <w:rPr>
          <w:rFonts w:ascii="Times New Roman" w:hAnsi="Times New Roman" w:cs="Times New Roman"/>
          <w:szCs w:val="20"/>
        </w:rPr>
        <w:t>Overall survival of all patients was 6</w:t>
      </w:r>
      <w:r>
        <w:rPr>
          <w:rFonts w:ascii="Times New Roman" w:hAnsi="Times New Roman" w:cs="Times New Roman"/>
          <w:szCs w:val="20"/>
        </w:rPr>
        <w:t>4</w:t>
      </w:r>
      <w:r w:rsidRPr="00433BCA">
        <w:rPr>
          <w:rFonts w:ascii="Times New Roman" w:hAnsi="Times New Roman" w:cs="Times New Roman"/>
          <w:szCs w:val="20"/>
        </w:rPr>
        <w:t>.</w:t>
      </w:r>
      <w:r>
        <w:rPr>
          <w:rFonts w:ascii="Times New Roman" w:hAnsi="Times New Roman" w:cs="Times New Roman"/>
          <w:szCs w:val="20"/>
        </w:rPr>
        <w:t>2</w:t>
      </w:r>
      <w:r w:rsidRPr="00433BCA">
        <w:rPr>
          <w:rFonts w:ascii="Times New Roman" w:hAnsi="Times New Roman" w:cs="Times New Roman"/>
          <w:szCs w:val="20"/>
        </w:rPr>
        <w:t xml:space="preserve">% and disease-specific survival was 71.6%. Disease-specific survival of stage I and II was 100%. In stepwise Cox regression the two predictors selected for disease-specific survival were </w:t>
      </w:r>
      <w:proofErr w:type="spellStart"/>
      <w:r w:rsidRPr="00433BCA">
        <w:rPr>
          <w:rFonts w:ascii="Times New Roman" w:hAnsi="Times New Roman" w:cs="Times New Roman"/>
          <w:szCs w:val="20"/>
        </w:rPr>
        <w:t>pTNM</w:t>
      </w:r>
      <w:proofErr w:type="spellEnd"/>
      <w:r w:rsidRPr="00433BCA">
        <w:rPr>
          <w:rFonts w:ascii="Times New Roman" w:hAnsi="Times New Roman" w:cs="Times New Roman"/>
          <w:szCs w:val="20"/>
        </w:rPr>
        <w:t xml:space="preserve"> stages (</w:t>
      </w:r>
      <w:r w:rsidRPr="00433BCA">
        <w:rPr>
          <w:rFonts w:ascii="Times New Roman" w:hAnsi="Times New Roman" w:cs="Times New Roman"/>
          <w:i/>
          <w:szCs w:val="20"/>
        </w:rPr>
        <w:t>p</w:t>
      </w:r>
      <w:r w:rsidRPr="00433BCA">
        <w:rPr>
          <w:rFonts w:ascii="Times New Roman" w:hAnsi="Times New Roman" w:cs="Times New Roman"/>
          <w:szCs w:val="20"/>
        </w:rPr>
        <w:t>&lt;0.0001, odd ratio=19.633) and presence of metastatic lymph node (</w:t>
      </w:r>
      <w:r w:rsidRPr="00433BCA">
        <w:rPr>
          <w:rFonts w:ascii="Times New Roman" w:hAnsi="Times New Roman" w:cs="Times New Roman"/>
          <w:i/>
          <w:szCs w:val="20"/>
        </w:rPr>
        <w:t>p</w:t>
      </w:r>
      <w:r w:rsidRPr="00433BCA">
        <w:rPr>
          <w:rFonts w:ascii="Times New Roman" w:hAnsi="Times New Roman" w:cs="Times New Roman"/>
          <w:szCs w:val="20"/>
        </w:rPr>
        <w:t xml:space="preserve">=0.0004, odd ratio=0.1039). </w:t>
      </w:r>
    </w:p>
    <w:p w:rsidR="002D1EE5" w:rsidRPr="00433BCA" w:rsidRDefault="002D1EE5" w:rsidP="002D1EE5">
      <w:pPr>
        <w:pStyle w:val="a3"/>
        <w:spacing w:line="480" w:lineRule="auto"/>
        <w:rPr>
          <w:rFonts w:ascii="Times New Roman" w:hAnsi="Times New Roman" w:cs="Times New Roman"/>
          <w:szCs w:val="20"/>
        </w:rPr>
      </w:pPr>
      <w:r w:rsidRPr="00991D5E">
        <w:rPr>
          <w:rFonts w:ascii="Times New Roman" w:hAnsi="Times New Roman" w:cs="Times New Roman"/>
          <w:b/>
          <w:szCs w:val="20"/>
        </w:rPr>
        <w:t>Conclusion</w:t>
      </w:r>
      <w:r w:rsidRPr="00433BCA">
        <w:rPr>
          <w:rFonts w:ascii="Times New Roman" w:hAnsi="Times New Roman" w:cs="Times New Roman"/>
          <w:szCs w:val="20"/>
        </w:rPr>
        <w:t xml:space="preserve">: </w:t>
      </w:r>
      <w:r w:rsidRPr="00695733">
        <w:rPr>
          <w:rFonts w:ascii="Times New Roman" w:hAnsi="Times New Roman" w:cs="Times New Roman"/>
          <w:szCs w:val="20"/>
        </w:rPr>
        <w:t>OSCC has been shown a poor prognosis;</w:t>
      </w:r>
      <w:r w:rsidRPr="00433BCA">
        <w:rPr>
          <w:rFonts w:ascii="Times New Roman" w:hAnsi="Times New Roman" w:cs="Times New Roman"/>
          <w:szCs w:val="20"/>
        </w:rPr>
        <w:t xml:space="preserve"> however, there was improved survival outcomes compared with past studies. Advanced stage and presence of metastatic lymph node showed poorer survival than early stage OSCC</w:t>
      </w:r>
      <w:r>
        <w:rPr>
          <w:rFonts w:ascii="Times New Roman" w:hAnsi="Times New Roman" w:cs="Times New Roman"/>
          <w:szCs w:val="20"/>
        </w:rPr>
        <w:t xml:space="preserve"> and negative neck node</w:t>
      </w:r>
      <w:r w:rsidRPr="00433BCA">
        <w:rPr>
          <w:rFonts w:ascii="Times New Roman" w:hAnsi="Times New Roman" w:cs="Times New Roman"/>
          <w:szCs w:val="20"/>
        </w:rPr>
        <w:t xml:space="preserve">. Invasion depth, cell differentiation and postoperative radiotherapy were not related with survival. </w:t>
      </w:r>
      <w:r w:rsidRPr="00024817">
        <w:rPr>
          <w:rFonts w:ascii="Times New Roman" w:hAnsi="Times New Roman" w:cs="Times New Roman"/>
          <w:szCs w:val="20"/>
        </w:rPr>
        <w:t>Stage I and II OSCC</w:t>
      </w:r>
      <w:r>
        <w:rPr>
          <w:rFonts w:ascii="Times New Roman" w:hAnsi="Times New Roman" w:cs="Times New Roman" w:hint="eastAsia"/>
          <w:szCs w:val="20"/>
        </w:rPr>
        <w:t xml:space="preserve"> showed excellent survival results in this study. </w:t>
      </w:r>
    </w:p>
    <w:p w:rsidR="002D1EE5" w:rsidRDefault="002D1EE5" w:rsidP="002D1EE5">
      <w:pPr>
        <w:pStyle w:val="a3"/>
        <w:spacing w:line="480" w:lineRule="auto"/>
        <w:rPr>
          <w:rFonts w:ascii="Times New Roman" w:hAnsi="Times New Roman" w:cs="Times New Roman"/>
          <w:szCs w:val="20"/>
        </w:rPr>
      </w:pPr>
    </w:p>
    <w:p w:rsidR="002D1EE5" w:rsidRPr="00433BCA" w:rsidRDefault="002D1EE5" w:rsidP="002D1EE5">
      <w:pPr>
        <w:pStyle w:val="a3"/>
        <w:spacing w:line="480" w:lineRule="auto"/>
        <w:rPr>
          <w:rFonts w:ascii="Times New Roman" w:hAnsi="Times New Roman" w:cs="Times New Roman"/>
          <w:szCs w:val="20"/>
        </w:rPr>
      </w:pPr>
      <w:r w:rsidRPr="00433BCA">
        <w:rPr>
          <w:rFonts w:ascii="Times New Roman" w:hAnsi="Times New Roman" w:cs="Times New Roman"/>
          <w:szCs w:val="20"/>
        </w:rPr>
        <w:lastRenderedPageBreak/>
        <w:t>Keywords: oral squamous cell carcinoma, survival analysis, prognostic factors</w:t>
      </w:r>
      <w:r>
        <w:rPr>
          <w:rFonts w:ascii="Times New Roman" w:hAnsi="Times New Roman" w:cs="Times New Roman" w:hint="eastAsia"/>
          <w:szCs w:val="20"/>
        </w:rPr>
        <w:t>, metastatic lymph node, TMM stage</w:t>
      </w:r>
    </w:p>
    <w:p w:rsidR="00A5204D" w:rsidRPr="002D1EE5" w:rsidRDefault="008B447D"/>
    <w:sectPr w:rsidR="00A5204D" w:rsidRPr="002D1EE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EE5"/>
    <w:rsid w:val="00167713"/>
    <w:rsid w:val="002D1EE5"/>
    <w:rsid w:val="008B447D"/>
    <w:rsid w:val="008E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C34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1EE5"/>
    <w:pPr>
      <w:widowControl w:val="0"/>
      <w:wordWrap w:val="0"/>
      <w:autoSpaceDE w:val="0"/>
      <w:autoSpaceDN w:val="0"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1EE5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2017-06-30T03:04:00Z</dcterms:created>
  <dcterms:modified xsi:type="dcterms:W3CDTF">2017-06-30T03:13:00Z</dcterms:modified>
</cp:coreProperties>
</file>