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6BE9F6" w14:textId="10906E57" w:rsidR="00BA32DB" w:rsidRPr="00BE2C82" w:rsidRDefault="006D74AF" w:rsidP="00BA32DB">
      <w:pPr>
        <w:jc w:val="both"/>
        <w:rPr>
          <w:rFonts w:ascii="Times New Roman" w:eastAsia="Times New Roman" w:hAnsi="Times New Roman" w:cs="Times New Roman"/>
          <w:b/>
          <w:color w:val="000000" w:themeColor="text1"/>
          <w:shd w:val="clear" w:color="auto" w:fill="FFFFFF"/>
          <w:lang w:val="en-US"/>
        </w:rPr>
      </w:pPr>
      <w:r>
        <w:rPr>
          <w:rFonts w:ascii="Times New Roman" w:eastAsia="Times New Roman" w:hAnsi="Times New Roman" w:cs="Times New Roman"/>
          <w:b/>
          <w:color w:val="000000" w:themeColor="text1"/>
          <w:shd w:val="clear" w:color="auto" w:fill="FFFFFF"/>
          <w:lang w:val="en-US"/>
        </w:rPr>
        <w:t>Exosom</w:t>
      </w:r>
      <w:r w:rsidR="008D4D62" w:rsidRPr="00BE2C82">
        <w:rPr>
          <w:rFonts w:ascii="Times New Roman" w:eastAsia="Times New Roman" w:hAnsi="Times New Roman" w:cs="Times New Roman"/>
          <w:b/>
          <w:color w:val="000000" w:themeColor="text1"/>
          <w:shd w:val="clear" w:color="auto" w:fill="FFFFFF"/>
          <w:lang w:val="en-US"/>
        </w:rPr>
        <w:t xml:space="preserve">es secreted </w:t>
      </w:r>
      <w:r>
        <w:rPr>
          <w:rFonts w:ascii="Times New Roman" w:eastAsia="Times New Roman" w:hAnsi="Times New Roman" w:cs="Times New Roman"/>
          <w:b/>
          <w:color w:val="000000" w:themeColor="text1"/>
          <w:shd w:val="clear" w:color="auto" w:fill="FFFFFF"/>
          <w:lang w:val="en-US"/>
        </w:rPr>
        <w:t>by</w:t>
      </w:r>
      <w:r w:rsidR="008D4D62">
        <w:rPr>
          <w:rFonts w:ascii="Times New Roman" w:eastAsia="Times New Roman" w:hAnsi="Times New Roman" w:cs="Times New Roman"/>
          <w:b/>
          <w:color w:val="000000" w:themeColor="text1"/>
          <w:shd w:val="clear" w:color="auto" w:fill="FFFFFF"/>
          <w:lang w:val="en-US"/>
        </w:rPr>
        <w:t xml:space="preserve"> stimulated dermal fibroblasts enhance hair fo</w:t>
      </w:r>
      <w:r>
        <w:rPr>
          <w:rFonts w:ascii="Times New Roman" w:eastAsia="Times New Roman" w:hAnsi="Times New Roman" w:cs="Times New Roman"/>
          <w:b/>
          <w:color w:val="000000" w:themeColor="text1"/>
          <w:shd w:val="clear" w:color="auto" w:fill="FFFFFF"/>
          <w:lang w:val="en-US"/>
        </w:rPr>
        <w:t xml:space="preserve">llicle growth via regenerative activation </w:t>
      </w:r>
      <w:r w:rsidR="00BA32DB" w:rsidRPr="00BE2C82">
        <w:rPr>
          <w:rFonts w:ascii="Times New Roman" w:eastAsia="Times New Roman" w:hAnsi="Times New Roman" w:cs="Times New Roman"/>
          <w:b/>
          <w:color w:val="000000" w:themeColor="text1"/>
          <w:shd w:val="clear" w:color="auto" w:fill="FFFFFF"/>
          <w:lang w:val="en-US"/>
        </w:rPr>
        <w:t>of dermal papilla cells</w:t>
      </w:r>
      <w:r w:rsidR="00BA32DB">
        <w:rPr>
          <w:rFonts w:ascii="Times New Roman" w:eastAsia="Times New Roman" w:hAnsi="Times New Roman" w:cs="Times New Roman"/>
          <w:b/>
          <w:color w:val="000000" w:themeColor="text1"/>
          <w:shd w:val="clear" w:color="auto" w:fill="FFFFFF"/>
          <w:lang w:val="en-US"/>
        </w:rPr>
        <w:t xml:space="preserve"> </w:t>
      </w:r>
    </w:p>
    <w:p w14:paraId="30FB82DF" w14:textId="77777777" w:rsidR="00BA32DB" w:rsidRPr="00E1329A" w:rsidRDefault="00BA32DB" w:rsidP="00BA32DB">
      <w:pPr>
        <w:rPr>
          <w:rFonts w:ascii="Times New Roman" w:eastAsia="Times New Roman" w:hAnsi="Times New Roman" w:cs="Times New Roman"/>
          <w:color w:val="000000" w:themeColor="text1"/>
          <w:shd w:val="clear" w:color="auto" w:fill="FFFFFF"/>
        </w:rPr>
      </w:pPr>
      <w:r w:rsidRPr="00A91741">
        <w:rPr>
          <w:rFonts w:ascii="Times New Roman" w:eastAsia="Times New Roman" w:hAnsi="Times New Roman" w:cs="Times New Roman"/>
          <w:color w:val="000000" w:themeColor="text1"/>
          <w:u w:val="single"/>
          <w:shd w:val="clear" w:color="auto" w:fill="FFFFFF"/>
        </w:rPr>
        <w:t>Le Riche A</w:t>
      </w:r>
      <w:r w:rsidRPr="00E1329A">
        <w:rPr>
          <w:rFonts w:ascii="Times New Roman" w:eastAsia="Times New Roman" w:hAnsi="Times New Roman" w:cs="Times New Roman"/>
          <w:color w:val="000000" w:themeColor="text1"/>
          <w:shd w:val="clear" w:color="auto" w:fill="FFFFFF"/>
        </w:rPr>
        <w:t>.</w:t>
      </w:r>
      <w:r w:rsidRPr="00E1329A">
        <w:rPr>
          <w:rFonts w:ascii="Times New Roman" w:eastAsia="Times New Roman" w:hAnsi="Times New Roman" w:cs="Times New Roman"/>
          <w:color w:val="000000" w:themeColor="text1"/>
          <w:shd w:val="clear" w:color="auto" w:fill="FFFFFF"/>
          <w:vertAlign w:val="superscript"/>
        </w:rPr>
        <w:t>1-3</w:t>
      </w:r>
      <w:r w:rsidRPr="00E1329A">
        <w:rPr>
          <w:rFonts w:ascii="Times New Roman" w:eastAsia="Times New Roman" w:hAnsi="Times New Roman" w:cs="Times New Roman"/>
          <w:color w:val="000000" w:themeColor="text1"/>
          <w:shd w:val="clear" w:color="auto" w:fill="FFFFFF"/>
        </w:rPr>
        <w:t>, Aberdam E.</w:t>
      </w:r>
      <w:r w:rsidRPr="00E1329A">
        <w:rPr>
          <w:rFonts w:ascii="Times New Roman" w:eastAsia="Times New Roman" w:hAnsi="Times New Roman" w:cs="Times New Roman"/>
          <w:color w:val="000000" w:themeColor="text1"/>
          <w:shd w:val="clear" w:color="auto" w:fill="FFFFFF"/>
          <w:vertAlign w:val="superscript"/>
        </w:rPr>
        <w:t>1</w:t>
      </w:r>
      <w:r>
        <w:rPr>
          <w:rFonts w:ascii="Times New Roman" w:eastAsia="Times New Roman" w:hAnsi="Times New Roman" w:cs="Times New Roman"/>
          <w:color w:val="000000" w:themeColor="text1"/>
          <w:shd w:val="clear" w:color="auto" w:fill="FFFFFF"/>
          <w:vertAlign w:val="superscript"/>
        </w:rPr>
        <w:t>-2</w:t>
      </w:r>
      <w:r w:rsidRPr="00E1329A">
        <w:rPr>
          <w:rFonts w:ascii="Times New Roman" w:eastAsia="Times New Roman" w:hAnsi="Times New Roman" w:cs="Times New Roman"/>
          <w:color w:val="000000" w:themeColor="text1"/>
          <w:shd w:val="clear" w:color="auto" w:fill="FFFFFF"/>
        </w:rPr>
        <w:t>, Closs B.</w:t>
      </w:r>
      <w:r w:rsidRPr="00E1329A">
        <w:rPr>
          <w:rFonts w:ascii="Times New Roman" w:eastAsia="Times New Roman" w:hAnsi="Times New Roman" w:cs="Times New Roman"/>
          <w:color w:val="000000" w:themeColor="text1"/>
          <w:shd w:val="clear" w:color="auto" w:fill="FFFFFF"/>
          <w:vertAlign w:val="superscript"/>
        </w:rPr>
        <w:t>3</w:t>
      </w:r>
      <w:r w:rsidRPr="00E1329A">
        <w:rPr>
          <w:rFonts w:ascii="Times New Roman" w:eastAsia="Times New Roman" w:hAnsi="Times New Roman" w:cs="Times New Roman"/>
          <w:color w:val="000000" w:themeColor="text1"/>
          <w:shd w:val="clear" w:color="auto" w:fill="FFFFFF"/>
        </w:rPr>
        <w:t>, Bordes S.</w:t>
      </w:r>
      <w:r w:rsidRPr="00E1329A">
        <w:rPr>
          <w:rFonts w:ascii="Times New Roman" w:eastAsia="Times New Roman" w:hAnsi="Times New Roman" w:cs="Times New Roman"/>
          <w:color w:val="000000" w:themeColor="text1"/>
          <w:shd w:val="clear" w:color="auto" w:fill="FFFFFF"/>
          <w:vertAlign w:val="superscript"/>
        </w:rPr>
        <w:t xml:space="preserve"> 3</w:t>
      </w:r>
      <w:r w:rsidRPr="00E1329A">
        <w:rPr>
          <w:rFonts w:ascii="Times New Roman" w:eastAsia="Times New Roman" w:hAnsi="Times New Roman" w:cs="Times New Roman"/>
          <w:color w:val="000000" w:themeColor="text1"/>
          <w:shd w:val="clear" w:color="auto" w:fill="FFFFFF"/>
        </w:rPr>
        <w:t xml:space="preserve"> and Aberdam D</w:t>
      </w:r>
      <w:r w:rsidRPr="00E1329A">
        <w:rPr>
          <w:rFonts w:ascii="Times New Roman" w:eastAsia="Times New Roman" w:hAnsi="Times New Roman" w:cs="Times New Roman"/>
          <w:color w:val="000000" w:themeColor="text1"/>
          <w:shd w:val="clear" w:color="auto" w:fill="FFFFFF"/>
          <w:vertAlign w:val="superscript"/>
        </w:rPr>
        <w:t>1</w:t>
      </w:r>
      <w:r>
        <w:rPr>
          <w:rFonts w:ascii="Times New Roman" w:eastAsia="Times New Roman" w:hAnsi="Times New Roman" w:cs="Times New Roman"/>
          <w:color w:val="000000" w:themeColor="text1"/>
          <w:shd w:val="clear" w:color="auto" w:fill="FFFFFF"/>
          <w:vertAlign w:val="superscript"/>
        </w:rPr>
        <w:t>-2</w:t>
      </w:r>
    </w:p>
    <w:p w14:paraId="3BD86C45" w14:textId="77777777" w:rsidR="00930C21" w:rsidRDefault="00BA32DB" w:rsidP="00BA32DB">
      <w:pPr>
        <w:autoSpaceDE w:val="0"/>
        <w:autoSpaceDN w:val="0"/>
        <w:adjustRightInd w:val="0"/>
        <w:spacing w:after="0" w:line="240" w:lineRule="auto"/>
        <w:rPr>
          <w:rFonts w:ascii="Times New Roman" w:eastAsia="Times New Roman" w:hAnsi="Times New Roman" w:cs="Times New Roman"/>
          <w:color w:val="000000"/>
          <w:shd w:val="clear" w:color="auto" w:fill="FFFFFF"/>
        </w:rPr>
      </w:pPr>
      <w:r w:rsidRPr="00E1329A">
        <w:rPr>
          <w:rFonts w:ascii="Times New Roman" w:eastAsia="Times New Roman" w:hAnsi="Times New Roman" w:cs="Times New Roman"/>
          <w:color w:val="000000" w:themeColor="text1"/>
          <w:shd w:val="clear" w:color="auto" w:fill="FFFFFF"/>
          <w:vertAlign w:val="superscript"/>
        </w:rPr>
        <w:t>1</w:t>
      </w:r>
      <w:r w:rsidRPr="00E1329A">
        <w:rPr>
          <w:rFonts w:ascii="Times New Roman" w:eastAsia="Times New Roman" w:hAnsi="Times New Roman" w:cs="Times New Roman"/>
          <w:color w:val="000000" w:themeColor="text1"/>
          <w:shd w:val="clear" w:color="auto" w:fill="FFFFFF"/>
        </w:rPr>
        <w:t>INSERMU976</w:t>
      </w:r>
      <w:r>
        <w:rPr>
          <w:rFonts w:ascii="Times New Roman" w:eastAsia="Times New Roman" w:hAnsi="Times New Roman" w:cs="Times New Roman"/>
          <w:color w:val="000000" w:themeColor="text1"/>
          <w:shd w:val="clear" w:color="auto" w:fill="FFFFFF"/>
        </w:rPr>
        <w:t>, France</w:t>
      </w:r>
      <w:r w:rsidRPr="00E1329A">
        <w:rPr>
          <w:rFonts w:ascii="Times New Roman" w:eastAsia="Times New Roman" w:hAnsi="Times New Roman" w:cs="Times New Roman"/>
          <w:color w:val="000000" w:themeColor="text1"/>
          <w:shd w:val="clear" w:color="auto" w:fill="FFFFFF"/>
        </w:rPr>
        <w:t xml:space="preserve">, </w:t>
      </w:r>
      <w:r w:rsidRPr="00E1329A">
        <w:rPr>
          <w:rFonts w:ascii="Times New Roman" w:eastAsia="Times New Roman" w:hAnsi="Times New Roman" w:cs="Times New Roman"/>
          <w:color w:val="000000" w:themeColor="text1"/>
          <w:shd w:val="clear" w:color="auto" w:fill="FFFFFF"/>
          <w:vertAlign w:val="superscript"/>
        </w:rPr>
        <w:t>2</w:t>
      </w:r>
      <w:r>
        <w:rPr>
          <w:rFonts w:ascii="Times New Roman" w:eastAsia="Times New Roman" w:hAnsi="Times New Roman" w:cs="Times New Roman"/>
          <w:color w:val="000000" w:themeColor="text1"/>
          <w:shd w:val="clear" w:color="auto" w:fill="FFFFFF"/>
        </w:rPr>
        <w:t>Université Paris-Diderot</w:t>
      </w:r>
      <w:r w:rsidRPr="00E1329A">
        <w:rPr>
          <w:rFonts w:ascii="Times New Roman" w:eastAsia="Times New Roman" w:hAnsi="Times New Roman" w:cs="Times New Roman"/>
          <w:color w:val="000000" w:themeColor="text1"/>
          <w:shd w:val="clear" w:color="auto" w:fill="FFFFFF"/>
        </w:rPr>
        <w:t xml:space="preserve">; </w:t>
      </w:r>
      <w:r w:rsidRPr="00E1329A">
        <w:rPr>
          <w:rFonts w:ascii="Times New Roman" w:eastAsia="Times New Roman" w:hAnsi="Times New Roman" w:cs="Times New Roman"/>
          <w:color w:val="000000" w:themeColor="text1"/>
          <w:shd w:val="clear" w:color="auto" w:fill="FFFFFF"/>
          <w:vertAlign w:val="superscript"/>
        </w:rPr>
        <w:t>3</w:t>
      </w:r>
      <w:r w:rsidRPr="00E1329A">
        <w:rPr>
          <w:rFonts w:ascii="Times New Roman" w:eastAsia="Times New Roman" w:hAnsi="Times New Roman" w:cs="Times New Roman"/>
          <w:color w:val="000000"/>
          <w:shd w:val="clear" w:color="auto" w:fill="FFFFFF"/>
        </w:rPr>
        <w:t xml:space="preserve">SILAB, Saint-Viance, </w:t>
      </w:r>
      <w:r>
        <w:rPr>
          <w:rFonts w:ascii="Times New Roman" w:eastAsia="Times New Roman" w:hAnsi="Times New Roman" w:cs="Times New Roman"/>
          <w:color w:val="000000"/>
          <w:shd w:val="clear" w:color="auto" w:fill="FFFFFF"/>
        </w:rPr>
        <w:t>France</w:t>
      </w:r>
    </w:p>
    <w:p w14:paraId="78BE62F0" w14:textId="77777777" w:rsidR="00BA32DB" w:rsidRPr="00BA32DB" w:rsidRDefault="00BA32DB" w:rsidP="00BA32DB">
      <w:pPr>
        <w:autoSpaceDE w:val="0"/>
        <w:autoSpaceDN w:val="0"/>
        <w:adjustRightInd w:val="0"/>
        <w:spacing w:after="0" w:line="240" w:lineRule="auto"/>
        <w:rPr>
          <w:rFonts w:ascii="Arial" w:hAnsi="Arial" w:cs="Arial"/>
          <w:u w:val="single"/>
        </w:rPr>
      </w:pPr>
    </w:p>
    <w:p w14:paraId="3AE68327" w14:textId="77777777" w:rsidR="00BA32DB" w:rsidRPr="00BA32DB" w:rsidRDefault="00BA32DB" w:rsidP="00654E17">
      <w:pPr>
        <w:autoSpaceDE w:val="0"/>
        <w:autoSpaceDN w:val="0"/>
        <w:adjustRightInd w:val="0"/>
        <w:spacing w:after="0" w:line="240" w:lineRule="auto"/>
        <w:rPr>
          <w:rFonts w:ascii="Times New Roman" w:hAnsi="Times New Roman" w:cs="Times New Roman"/>
        </w:rPr>
      </w:pPr>
    </w:p>
    <w:p w14:paraId="6A802422" w14:textId="633FE3B3" w:rsidR="00A60ECE" w:rsidRPr="00A60ECE" w:rsidRDefault="00A60ECE" w:rsidP="006D74AF">
      <w:pPr>
        <w:pStyle w:val="NormalWeb"/>
        <w:spacing w:line="360" w:lineRule="auto"/>
        <w:jc w:val="both"/>
        <w:rPr>
          <w:rFonts w:ascii="Arial" w:hAnsi="Arial"/>
          <w:color w:val="000000" w:themeColor="text1"/>
          <w:sz w:val="18"/>
          <w:szCs w:val="18"/>
        </w:rPr>
      </w:pPr>
      <w:r w:rsidRPr="00A60ECE">
        <w:rPr>
          <w:rFonts w:ascii="Arial" w:hAnsi="Arial"/>
          <w:color w:val="000000" w:themeColor="text1"/>
          <w:sz w:val="18"/>
          <w:szCs w:val="18"/>
        </w:rPr>
        <w:t xml:space="preserve">Dermal papilla (DP) plays a critical role in hair follicle (HF) cycling, stem cell persistence but also proper skin architecture. Wnt signaling, fibroblast growth factors and the bone morphogenetic protein (BMP) pathway are crucial for early DP development and maturation. PDGF-AA is another epidermal factor which contributes to the formation of DP. </w:t>
      </w:r>
      <w:r>
        <w:rPr>
          <w:rFonts w:ascii="Arial" w:hAnsi="Arial"/>
          <w:color w:val="000000" w:themeColor="text1"/>
          <w:sz w:val="18"/>
          <w:szCs w:val="18"/>
        </w:rPr>
        <w:t xml:space="preserve">Intact </w:t>
      </w:r>
      <w:r w:rsidRPr="00A60ECE">
        <w:rPr>
          <w:rFonts w:ascii="Arial" w:hAnsi="Arial"/>
          <w:color w:val="000000" w:themeColor="text1"/>
          <w:sz w:val="18"/>
          <w:szCs w:val="18"/>
        </w:rPr>
        <w:t xml:space="preserve">DP </w:t>
      </w:r>
      <w:r>
        <w:rPr>
          <w:rFonts w:ascii="Arial" w:hAnsi="Arial"/>
          <w:color w:val="000000" w:themeColor="text1"/>
          <w:sz w:val="18"/>
          <w:szCs w:val="18"/>
        </w:rPr>
        <w:t xml:space="preserve">or DP </w:t>
      </w:r>
      <w:r w:rsidRPr="00A60ECE">
        <w:rPr>
          <w:rFonts w:ascii="Arial" w:hAnsi="Arial"/>
          <w:color w:val="000000" w:themeColor="text1"/>
          <w:sz w:val="18"/>
          <w:szCs w:val="18"/>
        </w:rPr>
        <w:t xml:space="preserve">cells (DPCs) </w:t>
      </w:r>
      <w:r>
        <w:rPr>
          <w:rFonts w:ascii="Arial" w:hAnsi="Arial"/>
          <w:color w:val="000000" w:themeColor="text1"/>
          <w:sz w:val="18"/>
          <w:szCs w:val="18"/>
        </w:rPr>
        <w:t xml:space="preserve">at ealy passages </w:t>
      </w:r>
      <w:r w:rsidRPr="00A60ECE">
        <w:rPr>
          <w:rFonts w:ascii="Arial" w:hAnsi="Arial"/>
          <w:color w:val="000000" w:themeColor="text1"/>
          <w:sz w:val="18"/>
          <w:szCs w:val="18"/>
        </w:rPr>
        <w:t>can be engrafted with epidermal cells to reconstitute HF on mice. However DPCs gradually lost their regenerative capacity after being passaged. Sphere formation increases the hair-inductive activity of cultured human DPCs that display expression profiles different from DPCs cultured in 2D but w</w:t>
      </w:r>
      <w:r>
        <w:rPr>
          <w:rFonts w:ascii="Arial" w:hAnsi="Arial"/>
          <w:color w:val="000000" w:themeColor="text1"/>
          <w:sz w:val="18"/>
          <w:szCs w:val="18"/>
        </w:rPr>
        <w:t xml:space="preserve">ith many similarities to intact </w:t>
      </w:r>
      <w:r w:rsidRPr="00A60ECE">
        <w:rPr>
          <w:rFonts w:ascii="Arial" w:hAnsi="Arial"/>
          <w:color w:val="000000" w:themeColor="text1"/>
          <w:sz w:val="18"/>
          <w:szCs w:val="18"/>
        </w:rPr>
        <w:t>DPCs.</w:t>
      </w:r>
      <w:r w:rsidRPr="00A60ECE">
        <w:rPr>
          <w:rStyle w:val="apple-converted-space"/>
          <w:rFonts w:ascii="Arial" w:hAnsi="Arial"/>
          <w:color w:val="000000" w:themeColor="text1"/>
          <w:sz w:val="18"/>
          <w:szCs w:val="18"/>
        </w:rPr>
        <w:t> </w:t>
      </w:r>
      <w:r>
        <w:rPr>
          <w:rFonts w:ascii="Arial" w:hAnsi="Arial"/>
          <w:color w:val="000000" w:themeColor="text1"/>
          <w:sz w:val="18"/>
          <w:szCs w:val="18"/>
        </w:rPr>
        <w:t>To restore in vitro their regenerative capacity, p</w:t>
      </w:r>
      <w:r w:rsidRPr="00A60ECE">
        <w:rPr>
          <w:rFonts w:ascii="Arial" w:hAnsi="Arial"/>
          <w:color w:val="000000" w:themeColor="text1"/>
          <w:sz w:val="18"/>
          <w:szCs w:val="18"/>
        </w:rPr>
        <w:t>rimary DPCs cultivated in 2D for 5 passages</w:t>
      </w:r>
      <w:r>
        <w:rPr>
          <w:rFonts w:ascii="Arial" w:hAnsi="Arial"/>
          <w:color w:val="000000" w:themeColor="text1"/>
          <w:sz w:val="18"/>
          <w:szCs w:val="18"/>
        </w:rPr>
        <w:t xml:space="preserve"> were treated with </w:t>
      </w:r>
      <w:r w:rsidRPr="00A60ECE">
        <w:rPr>
          <w:rFonts w:ascii="Arial" w:hAnsi="Arial"/>
          <w:color w:val="000000" w:themeColor="text1"/>
          <w:sz w:val="18"/>
          <w:szCs w:val="18"/>
        </w:rPr>
        <w:t>e</w:t>
      </w:r>
      <w:r w:rsidR="006D74AF">
        <w:rPr>
          <w:rFonts w:ascii="Arial" w:hAnsi="Arial"/>
          <w:color w:val="000000" w:themeColor="text1"/>
          <w:sz w:val="18"/>
          <w:szCs w:val="18"/>
        </w:rPr>
        <w:t>xosom</w:t>
      </w:r>
      <w:r w:rsidRPr="00A60ECE">
        <w:rPr>
          <w:rFonts w:ascii="Arial" w:hAnsi="Arial"/>
          <w:color w:val="000000" w:themeColor="text1"/>
          <w:sz w:val="18"/>
          <w:szCs w:val="18"/>
        </w:rPr>
        <w:t xml:space="preserve">es </w:t>
      </w:r>
      <w:r w:rsidR="006D74AF">
        <w:rPr>
          <w:rFonts w:ascii="Arial" w:hAnsi="Arial"/>
          <w:color w:val="000000" w:themeColor="text1"/>
          <w:sz w:val="18"/>
          <w:szCs w:val="18"/>
        </w:rPr>
        <w:t xml:space="preserve">(EVs) </w:t>
      </w:r>
      <w:r w:rsidRPr="00A60ECE">
        <w:rPr>
          <w:rFonts w:ascii="Arial" w:hAnsi="Arial"/>
          <w:color w:val="000000" w:themeColor="text1"/>
          <w:sz w:val="18"/>
          <w:szCs w:val="18"/>
        </w:rPr>
        <w:t xml:space="preserve">purified from dermal fibroblasts (DFs) stimulated by both bFGF and PDGF-AA. 48h </w:t>
      </w:r>
      <w:r>
        <w:rPr>
          <w:rFonts w:ascii="Arial" w:hAnsi="Arial"/>
          <w:color w:val="000000" w:themeColor="text1"/>
          <w:sz w:val="18"/>
          <w:szCs w:val="18"/>
        </w:rPr>
        <w:t>after treatment,</w:t>
      </w:r>
      <w:r w:rsidRPr="00A60ECE">
        <w:rPr>
          <w:rFonts w:ascii="Arial" w:hAnsi="Arial"/>
          <w:color w:val="000000" w:themeColor="text1"/>
          <w:sz w:val="18"/>
          <w:szCs w:val="18"/>
        </w:rPr>
        <w:t xml:space="preserve"> expression profiles were compared to untreated cells and DPCs cultivated as spheres. Cell proliferation of EVs-treated DPCs was enhanced while a-SMA production was drastically reduced. EVs treatment restored the spheroid DPCs expression profile by recapitulating both the activation of Wnt pathway through Norrin (NDP) and the repression of two BMP antagonists Grem-1 and Bambi. </w:t>
      </w:r>
      <w:r w:rsidR="00812172">
        <w:rPr>
          <w:rFonts w:ascii="Arial" w:hAnsi="Arial"/>
          <w:color w:val="000000" w:themeColor="text1"/>
          <w:sz w:val="18"/>
          <w:szCs w:val="18"/>
        </w:rPr>
        <w:t>Remarkably</w:t>
      </w:r>
      <w:r w:rsidR="002B0E4F">
        <w:rPr>
          <w:rFonts w:ascii="Arial" w:hAnsi="Arial"/>
          <w:color w:val="000000" w:themeColor="text1"/>
          <w:sz w:val="18"/>
          <w:szCs w:val="18"/>
        </w:rPr>
        <w:t xml:space="preserve">, these EVs, and not the soluble growth factors, </w:t>
      </w:r>
      <w:r w:rsidRPr="00A60ECE">
        <w:rPr>
          <w:rFonts w:ascii="Arial" w:hAnsi="Arial"/>
          <w:color w:val="000000" w:themeColor="text1"/>
          <w:sz w:val="18"/>
          <w:szCs w:val="18"/>
        </w:rPr>
        <w:t xml:space="preserve">enhanced the survival and growth of HF cultivated ex-vivo. EVs could become a valuable tool to maintain and restore DPC activity and HF cycling. </w:t>
      </w:r>
      <w:r w:rsidR="001E3D80">
        <w:rPr>
          <w:rFonts w:ascii="Arial" w:hAnsi="Arial"/>
          <w:color w:val="000000" w:themeColor="text1"/>
          <w:sz w:val="18"/>
          <w:szCs w:val="18"/>
        </w:rPr>
        <w:t>These EVs</w:t>
      </w:r>
      <w:r w:rsidRPr="00A60ECE">
        <w:rPr>
          <w:rFonts w:ascii="Arial" w:hAnsi="Arial"/>
          <w:color w:val="000000" w:themeColor="text1"/>
          <w:sz w:val="18"/>
          <w:szCs w:val="18"/>
        </w:rPr>
        <w:t xml:space="preserve"> </w:t>
      </w:r>
      <w:r>
        <w:rPr>
          <w:rFonts w:ascii="Arial" w:hAnsi="Arial"/>
          <w:color w:val="000000" w:themeColor="text1"/>
          <w:sz w:val="18"/>
          <w:szCs w:val="18"/>
        </w:rPr>
        <w:t>could counteract</w:t>
      </w:r>
      <w:r w:rsidRPr="00A60ECE">
        <w:rPr>
          <w:rFonts w:ascii="Arial" w:hAnsi="Arial"/>
          <w:color w:val="000000" w:themeColor="text1"/>
          <w:sz w:val="18"/>
          <w:szCs w:val="18"/>
        </w:rPr>
        <w:t xml:space="preserve"> human male androgenetic alopecia.</w:t>
      </w:r>
    </w:p>
    <w:p w14:paraId="3C569629" w14:textId="7E69C814" w:rsidR="00460B09" w:rsidRDefault="008D4D62" w:rsidP="00F55A72">
      <w:pPr>
        <w:autoSpaceDE w:val="0"/>
        <w:autoSpaceDN w:val="0"/>
        <w:adjustRightInd w:val="0"/>
        <w:spacing w:after="0" w:line="240" w:lineRule="auto"/>
        <w:jc w:val="both"/>
        <w:rPr>
          <w:rFonts w:ascii="Arial" w:hAnsi="Arial" w:cs="Arial"/>
          <w:lang w:val="en-US"/>
        </w:rPr>
      </w:pPr>
      <w:r>
        <w:rPr>
          <w:rFonts w:ascii="Arial" w:hAnsi="Arial" w:cs="Arial"/>
          <w:lang w:val="en-US"/>
        </w:rPr>
        <w:t>`</w:t>
      </w:r>
    </w:p>
    <w:p w14:paraId="3B2D97A9" w14:textId="77777777" w:rsidR="008D4D62" w:rsidRDefault="008D4D62" w:rsidP="00F55A72">
      <w:pPr>
        <w:autoSpaceDE w:val="0"/>
        <w:autoSpaceDN w:val="0"/>
        <w:adjustRightInd w:val="0"/>
        <w:spacing w:after="0" w:line="240" w:lineRule="auto"/>
        <w:jc w:val="both"/>
        <w:rPr>
          <w:rFonts w:ascii="Arial" w:hAnsi="Arial" w:cs="Arial"/>
          <w:lang w:val="en-US"/>
        </w:rPr>
      </w:pPr>
      <w:bookmarkStart w:id="0" w:name="_GoBack"/>
      <w:bookmarkEnd w:id="0"/>
    </w:p>
    <w:sectPr w:rsidR="008D4D62" w:rsidSect="00D605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E17"/>
    <w:rsid w:val="001E3D80"/>
    <w:rsid w:val="00257F6F"/>
    <w:rsid w:val="002B0E4F"/>
    <w:rsid w:val="00304862"/>
    <w:rsid w:val="00313A36"/>
    <w:rsid w:val="00316451"/>
    <w:rsid w:val="003649BF"/>
    <w:rsid w:val="00460B09"/>
    <w:rsid w:val="004A1259"/>
    <w:rsid w:val="004D403D"/>
    <w:rsid w:val="004E2E42"/>
    <w:rsid w:val="005C74F6"/>
    <w:rsid w:val="00654E17"/>
    <w:rsid w:val="006D74AF"/>
    <w:rsid w:val="006F6FDF"/>
    <w:rsid w:val="00812172"/>
    <w:rsid w:val="00836C91"/>
    <w:rsid w:val="008972A4"/>
    <w:rsid w:val="008D4D62"/>
    <w:rsid w:val="00930C21"/>
    <w:rsid w:val="009D13FC"/>
    <w:rsid w:val="00A60ECE"/>
    <w:rsid w:val="00AD3697"/>
    <w:rsid w:val="00BA32DB"/>
    <w:rsid w:val="00D60564"/>
    <w:rsid w:val="00DD5169"/>
    <w:rsid w:val="00E64E7C"/>
    <w:rsid w:val="00E97ACA"/>
    <w:rsid w:val="00F55A72"/>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A350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6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60ECE"/>
    <w:pPr>
      <w:spacing w:before="100" w:beforeAutospacing="1" w:after="100" w:afterAutospacing="1" w:line="240" w:lineRule="auto"/>
    </w:pPr>
    <w:rPr>
      <w:rFonts w:ascii="Times" w:hAnsi="Times" w:cs="Times New Roman"/>
      <w:sz w:val="20"/>
      <w:szCs w:val="20"/>
      <w:lang w:eastAsia="fr-FR"/>
    </w:rPr>
  </w:style>
  <w:style w:type="character" w:customStyle="1" w:styleId="apple-converted-space">
    <w:name w:val="apple-converted-space"/>
    <w:basedOn w:val="Policepardfaut"/>
    <w:rsid w:val="00A60EC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56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A60ECE"/>
    <w:pPr>
      <w:spacing w:before="100" w:beforeAutospacing="1" w:after="100" w:afterAutospacing="1" w:line="240" w:lineRule="auto"/>
    </w:pPr>
    <w:rPr>
      <w:rFonts w:ascii="Times" w:hAnsi="Times" w:cs="Times New Roman"/>
      <w:sz w:val="20"/>
      <w:szCs w:val="20"/>
      <w:lang w:eastAsia="fr-FR"/>
    </w:rPr>
  </w:style>
  <w:style w:type="character" w:customStyle="1" w:styleId="apple-converted-space">
    <w:name w:val="apple-converted-space"/>
    <w:basedOn w:val="Policepardfaut"/>
    <w:rsid w:val="00A60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874794">
      <w:bodyDiv w:val="1"/>
      <w:marLeft w:val="0"/>
      <w:marRight w:val="0"/>
      <w:marTop w:val="0"/>
      <w:marBottom w:val="0"/>
      <w:divBdr>
        <w:top w:val="none" w:sz="0" w:space="0" w:color="auto"/>
        <w:left w:val="none" w:sz="0" w:space="0" w:color="auto"/>
        <w:bottom w:val="none" w:sz="0" w:space="0" w:color="auto"/>
        <w:right w:val="none" w:sz="0" w:space="0" w:color="auto"/>
      </w:divBdr>
    </w:div>
    <w:div w:id="104911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289</Words>
  <Characters>1595</Characters>
  <Application>Microsoft Macintosh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Gaëtan BRUNET</dc:creator>
  <cp:lastModifiedBy>Daniel Aberdam</cp:lastModifiedBy>
  <cp:revision>6</cp:revision>
  <cp:lastPrinted>2017-01-13T13:50:00Z</cp:lastPrinted>
  <dcterms:created xsi:type="dcterms:W3CDTF">2017-01-13T14:13:00Z</dcterms:created>
  <dcterms:modified xsi:type="dcterms:W3CDTF">2017-06-26T12:28:00Z</dcterms:modified>
</cp:coreProperties>
</file>