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821270" w14:textId="6FE773F9" w:rsidR="0071759E" w:rsidRPr="006E7666" w:rsidRDefault="006E7666" w:rsidP="0071759E">
      <w:pPr>
        <w:pStyle w:val="Heading1"/>
        <w:spacing w:before="170"/>
        <w:ind w:left="0"/>
        <w:rPr>
          <w:color w:val="337AB7"/>
        </w:rPr>
      </w:pPr>
      <w:r w:rsidRPr="006E7666">
        <w:rPr>
          <w:color w:val="337AB7"/>
        </w:rPr>
        <w:t>Effect of screening colonoscopy on colorectal cancer incidence and mortality is underestimated unless contamination is corrected</w:t>
      </w:r>
    </w:p>
    <w:p w14:paraId="7625419A" w14:textId="77777777" w:rsidR="006E7666" w:rsidRDefault="006E7666" w:rsidP="006E7666">
      <w:pPr>
        <w:rPr>
          <w:rFonts w:eastAsia="MS PGothic" w:hAnsi="Arial"/>
          <w:color w:val="000000"/>
        </w:rPr>
      </w:pPr>
    </w:p>
    <w:p w14:paraId="7CF5BB5F" w14:textId="35F1345F" w:rsidR="006E7666" w:rsidRDefault="006E7666" w:rsidP="006E7666">
      <w:pPr>
        <w:rPr>
          <w:rFonts w:eastAsia="MS PGothic" w:hAnsi="Arial"/>
          <w:color w:val="000000"/>
          <w:vertAlign w:val="superscript"/>
          <w:lang w:val="de-DE"/>
        </w:rPr>
      </w:pPr>
      <w:r w:rsidRPr="006E7666">
        <w:rPr>
          <w:rFonts w:eastAsia="MS PGothic" w:hAnsi="Arial"/>
          <w:color w:val="000000"/>
          <w:lang w:val="de-DE"/>
        </w:rPr>
        <w:t>Feng Guo</w:t>
      </w:r>
      <w:r w:rsidRPr="006E7666">
        <w:rPr>
          <w:rFonts w:eastAsia="MS PGothic" w:hAnsi="Arial"/>
          <w:color w:val="000000"/>
          <w:vertAlign w:val="superscript"/>
          <w:lang w:val="de-DE"/>
        </w:rPr>
        <w:t>1,2</w:t>
      </w:r>
      <w:r w:rsidRPr="006E7666">
        <w:rPr>
          <w:rFonts w:eastAsia="MS PGothic" w:hAnsi="Arial"/>
          <w:color w:val="000000"/>
          <w:lang w:val="de-DE"/>
        </w:rPr>
        <w:t>, Chen Chen</w:t>
      </w:r>
      <w:r w:rsidRPr="006E7666">
        <w:rPr>
          <w:rFonts w:eastAsia="MS PGothic" w:hAnsi="Arial"/>
          <w:color w:val="000000"/>
          <w:vertAlign w:val="superscript"/>
          <w:lang w:val="de-DE"/>
        </w:rPr>
        <w:t>1,2</w:t>
      </w:r>
      <w:r w:rsidRPr="006E7666">
        <w:rPr>
          <w:rFonts w:eastAsia="MS PGothic" w:hAnsi="Arial"/>
          <w:color w:val="000000"/>
          <w:lang w:val="de-DE"/>
        </w:rPr>
        <w:t>, Bernd Holleczek</w:t>
      </w:r>
      <w:r w:rsidRPr="006E7666">
        <w:rPr>
          <w:rFonts w:eastAsia="MS PGothic" w:hAnsi="Arial"/>
          <w:color w:val="000000"/>
          <w:vertAlign w:val="superscript"/>
          <w:lang w:val="de-DE"/>
        </w:rPr>
        <w:t>3</w:t>
      </w:r>
      <w:r w:rsidRPr="006E7666">
        <w:rPr>
          <w:rFonts w:eastAsia="MS PGothic" w:hAnsi="Arial"/>
          <w:color w:val="000000"/>
          <w:lang w:val="de-DE"/>
        </w:rPr>
        <w:t>, Ben Sch</w:t>
      </w:r>
      <w:r w:rsidRPr="006E7666">
        <w:rPr>
          <w:rFonts w:eastAsia="MS PGothic" w:hAnsi="Arial"/>
          <w:color w:val="000000"/>
          <w:lang w:val="de-DE"/>
        </w:rPr>
        <w:t>ö</w:t>
      </w:r>
      <w:r w:rsidRPr="006E7666">
        <w:rPr>
          <w:rFonts w:eastAsia="MS PGothic" w:hAnsi="Arial"/>
          <w:color w:val="000000"/>
          <w:lang w:val="de-DE"/>
        </w:rPr>
        <w:t>ttker</w:t>
      </w:r>
      <w:r w:rsidRPr="006E7666">
        <w:rPr>
          <w:rFonts w:eastAsia="MS PGothic" w:hAnsi="Arial"/>
          <w:color w:val="000000"/>
          <w:vertAlign w:val="superscript"/>
          <w:lang w:val="de-DE"/>
        </w:rPr>
        <w:t>1,4</w:t>
      </w:r>
      <w:r w:rsidRPr="006E7666">
        <w:rPr>
          <w:rFonts w:eastAsia="MS PGothic" w:hAnsi="Arial"/>
          <w:color w:val="000000"/>
          <w:lang w:val="de-DE"/>
        </w:rPr>
        <w:t>, Michael Hoffmeister</w:t>
      </w:r>
      <w:r w:rsidRPr="006E7666">
        <w:rPr>
          <w:rFonts w:eastAsia="MS PGothic" w:hAnsi="Arial"/>
          <w:color w:val="000000"/>
          <w:vertAlign w:val="superscript"/>
          <w:lang w:val="de-DE"/>
        </w:rPr>
        <w:t>1</w:t>
      </w:r>
      <w:r>
        <w:rPr>
          <w:rFonts w:eastAsia="MS PGothic" w:hAnsi="Arial"/>
          <w:color w:val="000000"/>
          <w:lang w:val="de-DE"/>
        </w:rPr>
        <w:t xml:space="preserve">, </w:t>
      </w:r>
      <w:r w:rsidRPr="006E7666">
        <w:rPr>
          <w:rFonts w:eastAsia="MS PGothic" w:hAnsi="Arial"/>
          <w:color w:val="000000"/>
          <w:lang w:val="de-DE"/>
        </w:rPr>
        <w:t>Hermann Brenner</w:t>
      </w:r>
      <w:r w:rsidRPr="006E7666">
        <w:rPr>
          <w:rFonts w:eastAsia="MS PGothic" w:hAnsi="Arial"/>
          <w:color w:val="000000"/>
          <w:vertAlign w:val="superscript"/>
          <w:lang w:val="de-DE"/>
        </w:rPr>
        <w:t>1,5,6</w:t>
      </w:r>
    </w:p>
    <w:p w14:paraId="29910E15" w14:textId="77777777" w:rsidR="0060743E" w:rsidRPr="006E7666" w:rsidRDefault="0060743E" w:rsidP="006E7666">
      <w:pPr>
        <w:rPr>
          <w:rFonts w:eastAsia="MS PGothic" w:hAnsi="Arial"/>
          <w:color w:val="000000"/>
          <w:lang w:val="de-DE"/>
        </w:rPr>
      </w:pPr>
    </w:p>
    <w:p w14:paraId="7A221ED3" w14:textId="77777777" w:rsidR="006E7666" w:rsidRPr="0060743E" w:rsidRDefault="006E7666" w:rsidP="006E7666">
      <w:pPr>
        <w:rPr>
          <w:rFonts w:eastAsia="MS PGothic" w:hAnsi="Arial"/>
          <w:color w:val="000000"/>
        </w:rPr>
      </w:pPr>
      <w:r w:rsidRPr="0060743E">
        <w:rPr>
          <w:rFonts w:eastAsia="MS PGothic" w:hAnsi="Arial"/>
          <w:color w:val="000000"/>
        </w:rPr>
        <w:t xml:space="preserve">1 Division of Clinical Epidemiology and Aging Research, German Cancer Research Center (DKFZ), Heidelberg, Germany </w:t>
      </w:r>
    </w:p>
    <w:p w14:paraId="0A05737A" w14:textId="77777777" w:rsidR="006E7666" w:rsidRPr="0060743E" w:rsidRDefault="006E7666" w:rsidP="006E7666">
      <w:pPr>
        <w:rPr>
          <w:rFonts w:eastAsia="MS PGothic" w:hAnsi="Arial"/>
          <w:color w:val="000000"/>
        </w:rPr>
      </w:pPr>
      <w:r w:rsidRPr="0060743E">
        <w:rPr>
          <w:rFonts w:eastAsia="MS PGothic" w:hAnsi="Arial"/>
          <w:color w:val="000000"/>
        </w:rPr>
        <w:t>2 Medical Faculty Heidelberg, University of Heidelberg, Heidelberg, Germany</w:t>
      </w:r>
    </w:p>
    <w:p w14:paraId="0E2BB550" w14:textId="310F967C" w:rsidR="006E7666" w:rsidRPr="0060743E" w:rsidRDefault="006E7666" w:rsidP="006E7666">
      <w:pPr>
        <w:rPr>
          <w:rFonts w:eastAsia="MS PGothic" w:hAnsi="Arial"/>
          <w:color w:val="000000"/>
        </w:rPr>
      </w:pPr>
      <w:r w:rsidRPr="0060743E">
        <w:rPr>
          <w:rFonts w:eastAsia="MS PGothic" w:hAnsi="Arial"/>
          <w:color w:val="000000"/>
        </w:rPr>
        <w:t xml:space="preserve">3 Saarland Cancer Registry, </w:t>
      </w:r>
      <w:proofErr w:type="spellStart"/>
      <w:r w:rsidRPr="0060743E">
        <w:rPr>
          <w:rFonts w:eastAsia="MS PGothic" w:hAnsi="Arial"/>
          <w:color w:val="000000"/>
        </w:rPr>
        <w:t>Saarbr</w:t>
      </w:r>
      <w:r w:rsidRPr="0060743E">
        <w:rPr>
          <w:rFonts w:eastAsia="MS PGothic" w:hAnsi="Arial"/>
          <w:color w:val="000000"/>
        </w:rPr>
        <w:t>ü</w:t>
      </w:r>
      <w:r w:rsidRPr="0060743E">
        <w:rPr>
          <w:rFonts w:eastAsia="MS PGothic" w:hAnsi="Arial"/>
          <w:color w:val="000000"/>
        </w:rPr>
        <w:t>cken</w:t>
      </w:r>
      <w:proofErr w:type="spellEnd"/>
      <w:r w:rsidRPr="0060743E">
        <w:rPr>
          <w:rFonts w:eastAsia="MS PGothic" w:hAnsi="Arial"/>
          <w:color w:val="000000"/>
        </w:rPr>
        <w:t>, Germany</w:t>
      </w:r>
    </w:p>
    <w:p w14:paraId="3DD7750F" w14:textId="77777777" w:rsidR="006E7666" w:rsidRPr="0060743E" w:rsidRDefault="006E7666" w:rsidP="006E7666">
      <w:pPr>
        <w:rPr>
          <w:rFonts w:eastAsia="MS PGothic" w:hAnsi="Arial"/>
          <w:color w:val="000000"/>
        </w:rPr>
      </w:pPr>
      <w:r w:rsidRPr="0060743E">
        <w:rPr>
          <w:rFonts w:eastAsia="MS PGothic" w:hAnsi="Arial"/>
          <w:color w:val="000000"/>
        </w:rPr>
        <w:t>4 Network Aging Research, University of Heidelberg, Heidelberg, Germany</w:t>
      </w:r>
    </w:p>
    <w:p w14:paraId="0DB2A6BB" w14:textId="77777777" w:rsidR="006E7666" w:rsidRPr="0060743E" w:rsidRDefault="006E7666" w:rsidP="006E7666">
      <w:pPr>
        <w:rPr>
          <w:rFonts w:eastAsia="MS PGothic" w:hAnsi="Arial"/>
          <w:color w:val="000000"/>
        </w:rPr>
      </w:pPr>
      <w:r w:rsidRPr="0060743E">
        <w:rPr>
          <w:rFonts w:eastAsia="MS PGothic" w:hAnsi="Arial"/>
          <w:color w:val="000000"/>
        </w:rPr>
        <w:t>5 Division of Preventive Oncology, German Cancer Research Center (DKFZ) and National Center for Tumor Diseases (NCT), Heidelberg, Germany</w:t>
      </w:r>
    </w:p>
    <w:p w14:paraId="19B30517" w14:textId="77777777" w:rsidR="006E7666" w:rsidRPr="0060743E" w:rsidRDefault="006E7666" w:rsidP="006E7666">
      <w:pPr>
        <w:rPr>
          <w:rFonts w:eastAsia="MS PGothic" w:hAnsi="Arial"/>
          <w:color w:val="000000"/>
        </w:rPr>
      </w:pPr>
      <w:r w:rsidRPr="0060743E">
        <w:rPr>
          <w:rFonts w:eastAsia="MS PGothic" w:hAnsi="Arial"/>
          <w:color w:val="000000"/>
        </w:rPr>
        <w:t xml:space="preserve">6 German Cancer Consortium (DKTK), German Cancer Research Center (DKFZ), Heidelberg, Germany </w:t>
      </w:r>
    </w:p>
    <w:p w14:paraId="602E226B" w14:textId="0889F7B5" w:rsidR="0071759E" w:rsidRDefault="0071759E" w:rsidP="006E7666">
      <w:pPr>
        <w:jc w:val="both"/>
        <w:rPr>
          <w:rFonts w:ascii="Arial"/>
          <w:sz w:val="21"/>
        </w:rPr>
      </w:pPr>
    </w:p>
    <w:p w14:paraId="64EB5B21" w14:textId="77777777" w:rsidR="0071759E" w:rsidRDefault="0071759E" w:rsidP="0071759E">
      <w:pPr>
        <w:rPr>
          <w:rFonts w:ascii="Arial"/>
          <w:sz w:val="21"/>
        </w:rPr>
        <w:sectPr w:rsidR="0071759E" w:rsidSect="009264E5">
          <w:headerReference w:type="default" r:id="rId7"/>
          <w:footerReference w:type="default" r:id="rId8"/>
          <w:pgSz w:w="11910" w:h="16840"/>
          <w:pgMar w:top="1740" w:right="600" w:bottom="840" w:left="620" w:header="1008" w:footer="1584" w:gutter="0"/>
          <w:cols w:space="720"/>
          <w:docGrid w:linePitch="299"/>
        </w:sectPr>
      </w:pPr>
    </w:p>
    <w:p w14:paraId="3413EF49" w14:textId="0E764844" w:rsidR="0071759E" w:rsidRDefault="006E7666" w:rsidP="0071759E">
      <w:pPr>
        <w:pStyle w:val="Heading3"/>
        <w:spacing w:before="147"/>
        <w:jc w:val="both"/>
      </w:pPr>
      <w:r>
        <w:rPr>
          <w:color w:val="BF5A14"/>
        </w:rPr>
        <w:t xml:space="preserve">Abstract </w:t>
      </w:r>
    </w:p>
    <w:p w14:paraId="03E539C8" w14:textId="245BC798" w:rsidR="006E7666" w:rsidRPr="006E7666" w:rsidRDefault="006E7666" w:rsidP="006E7666">
      <w:pPr>
        <w:pStyle w:val="BodyText"/>
        <w:spacing w:before="90" w:line="280" w:lineRule="auto"/>
        <w:ind w:left="100"/>
        <w:jc w:val="both"/>
      </w:pPr>
      <w:r w:rsidRPr="006E7666">
        <w:rPr>
          <w:b/>
        </w:rPr>
        <w:t>Objectives</w:t>
      </w:r>
      <w:r w:rsidRPr="006E7666">
        <w:t xml:space="preserve">. A challenge in quantifying the effect of endoscopic screening on colorectal cancer (CRC) incidence and mortality in longitudinal studies is to correct for contamination. We aimed to compare the magnitude of screening protection estimated by analyses </w:t>
      </w:r>
      <w:r w:rsidR="00471E2E">
        <w:t>with</w:t>
      </w:r>
      <w:r w:rsidRPr="006E7666">
        <w:t xml:space="preserve"> and</w:t>
      </w:r>
      <w:r w:rsidR="00471E2E">
        <w:t xml:space="preserve"> without</w:t>
      </w:r>
      <w:r w:rsidRPr="006E7666">
        <w:t xml:space="preserve"> correction for contamination. </w:t>
      </w:r>
    </w:p>
    <w:p w14:paraId="0BE66F39" w14:textId="601F34E0" w:rsidR="006E7666" w:rsidRPr="006E7666" w:rsidRDefault="006E7666" w:rsidP="006E7666">
      <w:pPr>
        <w:pStyle w:val="BodyText"/>
        <w:spacing w:before="90" w:line="280" w:lineRule="auto"/>
        <w:ind w:left="100"/>
        <w:jc w:val="both"/>
      </w:pPr>
      <w:r w:rsidRPr="006E7666">
        <w:rPr>
          <w:b/>
        </w:rPr>
        <w:t>Method</w:t>
      </w:r>
      <w:r w:rsidRPr="006E7666">
        <w:t xml:space="preserve">. In a population-based cohort study (ESTHER), we collected information on screening colonoscopy use at baseline (2000-2002) and after 2-, 5- and 8-year follow-up among 9,096 participants in Saarland, Germany. </w:t>
      </w:r>
      <w:r w:rsidR="006E6819" w:rsidRPr="006E6819">
        <w:t>CRC incident cases and deaths were obtained from the Saarland Cancer Registry.</w:t>
      </w:r>
      <w:r w:rsidR="006E6819" w:rsidRPr="00276A42">
        <w:rPr>
          <w:rFonts w:eastAsia="Times New Roman" w:cs="Arial"/>
          <w:bCs/>
          <w:kern w:val="36"/>
        </w:rPr>
        <w:t xml:space="preserve"> </w:t>
      </w:r>
      <w:r w:rsidRPr="006E7666">
        <w:t xml:space="preserve">Results on the associations between screening colonoscopy use and CRC incidence and mortality produced by time-fixed and time-varying Cox proportional hazard models were compared. </w:t>
      </w:r>
    </w:p>
    <w:p w14:paraId="22458EB6" w14:textId="5F568136" w:rsidR="006E7666" w:rsidRPr="006E7666" w:rsidRDefault="006E7666" w:rsidP="006E7666">
      <w:pPr>
        <w:pStyle w:val="BodyText"/>
        <w:spacing w:before="90" w:line="280" w:lineRule="auto"/>
        <w:ind w:left="100"/>
        <w:jc w:val="both"/>
      </w:pPr>
      <w:r w:rsidRPr="006E7666">
        <w:rPr>
          <w:b/>
        </w:rPr>
        <w:t>Results</w:t>
      </w:r>
      <w:r w:rsidRPr="006E7666">
        <w:t>. While CRC incidence among those who had undergone screening colonoscopy was reduced by 40% (adjusted hazard ratio [</w:t>
      </w:r>
      <w:proofErr w:type="spellStart"/>
      <w:r w:rsidRPr="006E7666">
        <w:t>aHR</w:t>
      </w:r>
      <w:proofErr w:type="spellEnd"/>
      <w:r w:rsidRPr="006E7666">
        <w:t>] 0.60; 95% confidence interval [CI] 0.42-0.87) comparing to unscreened population in time-fixed analysis, risk was reduced by 47% (</w:t>
      </w:r>
      <w:proofErr w:type="spellStart"/>
      <w:r w:rsidRPr="006E7666">
        <w:t>aHR</w:t>
      </w:r>
      <w:proofErr w:type="spellEnd"/>
      <w:r w:rsidRPr="006E7666">
        <w:t xml:space="preserve"> 0.53; 95% CI 0.39-0.72) in time-varying analysis. Adjusted HR were 0.48 (95% CI, 0.23-0.97) for CRC mortality in time-fixed model and 0.35 (95% CI, 0.20-0.62) in time-varying </w:t>
      </w:r>
      <w:r w:rsidR="006031CE">
        <w:t>model</w:t>
      </w:r>
      <w:r w:rsidRPr="006E7666">
        <w:t xml:space="preserve">. Compared to time-fixed </w:t>
      </w:r>
      <w:r w:rsidR="006031CE">
        <w:t>analyses</w:t>
      </w:r>
      <w:r w:rsidRPr="006E7666">
        <w:t xml:space="preserve">, stronger associations of screening colonoscopy use with cancer in distal colon and rectum were pronounced by time-varying </w:t>
      </w:r>
      <w:r w:rsidR="006031CE">
        <w:t>analyses</w:t>
      </w:r>
      <w:r w:rsidRPr="006E7666">
        <w:t xml:space="preserve">. </w:t>
      </w:r>
    </w:p>
    <w:p w14:paraId="6180AE03" w14:textId="77777777" w:rsidR="006E7666" w:rsidRPr="006E7666" w:rsidRDefault="006E7666" w:rsidP="006E7666">
      <w:pPr>
        <w:pStyle w:val="BodyText"/>
        <w:spacing w:before="90" w:line="280" w:lineRule="auto"/>
        <w:ind w:left="100"/>
        <w:jc w:val="both"/>
      </w:pPr>
      <w:r w:rsidRPr="006E7666">
        <w:rPr>
          <w:b/>
        </w:rPr>
        <w:t>Conclusions</w:t>
      </w:r>
      <w:r w:rsidRPr="006E7666">
        <w:t>. Prospective studies which only measured baseline screening colonoscopy without updating colonoscopy use over time have probably underestimated the effect of screening colonoscopy.</w:t>
      </w:r>
    </w:p>
    <w:p w14:paraId="6C549501" w14:textId="77777777" w:rsidR="006E7666" w:rsidRDefault="006E7666" w:rsidP="0071759E">
      <w:pPr>
        <w:pStyle w:val="BodyText"/>
        <w:spacing w:before="90" w:line="280" w:lineRule="auto"/>
        <w:ind w:left="100"/>
        <w:jc w:val="both"/>
      </w:pPr>
    </w:p>
    <w:p w14:paraId="59D9A924" w14:textId="77777777" w:rsidR="00471E2E" w:rsidRDefault="0071759E" w:rsidP="00471E2E">
      <w:pPr>
        <w:pStyle w:val="Heading3"/>
        <w:spacing w:before="74"/>
        <w:ind w:left="0"/>
        <w:rPr>
          <w:b w:val="0"/>
        </w:rPr>
      </w:pPr>
      <w:r>
        <w:rPr>
          <w:b w:val="0"/>
        </w:rPr>
        <w:br w:type="column"/>
      </w:r>
    </w:p>
    <w:p w14:paraId="57A0AD41" w14:textId="0E3AAE1C" w:rsidR="0071759E" w:rsidRDefault="0071759E" w:rsidP="00471E2E">
      <w:pPr>
        <w:pStyle w:val="Heading3"/>
        <w:spacing w:before="74"/>
        <w:ind w:left="0"/>
        <w:rPr>
          <w:color w:val="BF5A14"/>
        </w:rPr>
      </w:pPr>
      <w:r>
        <w:rPr>
          <w:color w:val="BF5A14"/>
        </w:rPr>
        <w:t>Recent Publications</w:t>
      </w:r>
    </w:p>
    <w:p w14:paraId="14A7E1CA" w14:textId="77777777" w:rsidR="006031CE" w:rsidRDefault="006031CE" w:rsidP="006E7666">
      <w:pPr>
        <w:pStyle w:val="Heading3"/>
        <w:spacing w:before="74"/>
        <w:rPr>
          <w:b w:val="0"/>
        </w:rPr>
      </w:pPr>
    </w:p>
    <w:p w14:paraId="25B50360" w14:textId="1E3A964E" w:rsidR="006E6819" w:rsidRPr="0060743E" w:rsidRDefault="006E6819" w:rsidP="006E6819">
      <w:pPr>
        <w:pStyle w:val="EndNoteBibliography"/>
        <w:ind w:left="720" w:hanging="720"/>
      </w:pPr>
      <w:r w:rsidRPr="006E6819">
        <w:rPr>
          <w:lang w:val="de-DE"/>
        </w:rPr>
        <w:fldChar w:fldCharType="begin"/>
      </w:r>
      <w:r w:rsidRPr="0060743E">
        <w:rPr>
          <w:lang w:val="de-DE"/>
        </w:rPr>
        <w:instrText xml:space="preserve"> ADDIN EN.REFLIST </w:instrText>
      </w:r>
      <w:r w:rsidRPr="006E6819">
        <w:rPr>
          <w:lang w:val="de-DE"/>
        </w:rPr>
        <w:fldChar w:fldCharType="separate"/>
      </w:r>
      <w:r w:rsidRPr="0060743E">
        <w:rPr>
          <w:lang w:val="de-DE"/>
        </w:rPr>
        <w:t xml:space="preserve">1. Heinrich J, Guo F, Trepka MJ. </w:t>
      </w:r>
      <w:r w:rsidRPr="0060743E">
        <w:t xml:space="preserve">Low-level Mercury Exposure </w:t>
      </w:r>
    </w:p>
    <w:p w14:paraId="3F406744" w14:textId="77777777" w:rsidR="006E6819" w:rsidRPr="0060743E" w:rsidRDefault="006E6819" w:rsidP="006E6819">
      <w:pPr>
        <w:pStyle w:val="EndNoteBibliography"/>
        <w:ind w:left="720" w:hanging="720"/>
      </w:pPr>
      <w:r w:rsidRPr="0060743E">
        <w:t>and Risk of Asthma in School-age Children. Epidemiology</w:t>
      </w:r>
    </w:p>
    <w:p w14:paraId="3E29AA9D" w14:textId="24C66416" w:rsidR="006E6819" w:rsidRPr="0060743E" w:rsidRDefault="006E6819" w:rsidP="006E6819">
      <w:pPr>
        <w:pStyle w:val="EndNoteBibliography"/>
        <w:ind w:left="720" w:hanging="720"/>
      </w:pPr>
      <w:r w:rsidRPr="0060743E">
        <w:t>2017; 28: 116-118</w:t>
      </w:r>
    </w:p>
    <w:p w14:paraId="634F75F0" w14:textId="77777777" w:rsidR="006E6819" w:rsidRPr="0060743E" w:rsidRDefault="006E6819" w:rsidP="006E6819">
      <w:pPr>
        <w:pStyle w:val="EndNoteBibliography"/>
        <w:ind w:left="720" w:hanging="720"/>
      </w:pPr>
    </w:p>
    <w:p w14:paraId="1E53FED1" w14:textId="77777777" w:rsidR="006E6819" w:rsidRDefault="006E6819" w:rsidP="006E6819">
      <w:pPr>
        <w:pStyle w:val="EndNoteBibliography"/>
        <w:ind w:left="720" w:hanging="720"/>
        <w:jc w:val="both"/>
      </w:pPr>
      <w:r w:rsidRPr="006E6819">
        <w:t xml:space="preserve">2. Heinrich J, Guo F, Fuertes E. Traffic-Related Air Pollution </w:t>
      </w:r>
    </w:p>
    <w:p w14:paraId="5AD7177B" w14:textId="77777777" w:rsidR="006E6819" w:rsidRDefault="006E6819" w:rsidP="006E6819">
      <w:pPr>
        <w:pStyle w:val="EndNoteBibliography"/>
        <w:ind w:left="720" w:hanging="720"/>
        <w:jc w:val="both"/>
      </w:pPr>
      <w:r w:rsidRPr="006E6819">
        <w:t xml:space="preserve">Exposure and Asthma, Hayfever, and Allergic Sensitisation in </w:t>
      </w:r>
    </w:p>
    <w:p w14:paraId="63858C47" w14:textId="77777777" w:rsidR="006E6819" w:rsidRDefault="006E6819" w:rsidP="006E6819">
      <w:pPr>
        <w:pStyle w:val="EndNoteBibliography"/>
        <w:ind w:left="720" w:hanging="720"/>
        <w:jc w:val="both"/>
      </w:pPr>
      <w:r w:rsidRPr="006E6819">
        <w:t xml:space="preserve">Birth Cohorts: A Systematic Review and Meta-Analysis. </w:t>
      </w:r>
    </w:p>
    <w:p w14:paraId="241877FC" w14:textId="77777777" w:rsidR="006E6819" w:rsidRDefault="006E6819" w:rsidP="006E6819">
      <w:pPr>
        <w:pStyle w:val="EndNoteBibliography"/>
        <w:ind w:left="720" w:hanging="720"/>
        <w:jc w:val="both"/>
      </w:pPr>
      <w:r w:rsidRPr="006E6819">
        <w:t xml:space="preserve">Geoinfor Geostat: An Overview 4:4. 2016; </w:t>
      </w:r>
    </w:p>
    <w:p w14:paraId="7A6C64FB" w14:textId="59BFC5CD" w:rsidR="006E6819" w:rsidRPr="006E6819" w:rsidRDefault="006E6819" w:rsidP="006E6819">
      <w:pPr>
        <w:pStyle w:val="EndNoteBibliography"/>
        <w:ind w:left="720" w:hanging="720"/>
      </w:pPr>
      <w:r w:rsidRPr="006E6819">
        <w:t>doi:10.4172/2327-4581.1000153</w:t>
      </w:r>
    </w:p>
    <w:p w14:paraId="180E9926" w14:textId="5F83128A" w:rsidR="0071759E" w:rsidRDefault="006E6819" w:rsidP="006E6819">
      <w:pPr>
        <w:pStyle w:val="EndNoteBibliography"/>
        <w:ind w:left="720" w:hanging="720"/>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sidRPr="006E6819">
        <w:rPr>
          <w:lang w:val="de-DE"/>
        </w:rPr>
        <w:fldChar w:fldCharType="end"/>
      </w:r>
      <w:r w:rsidR="0071759E">
        <w:rPr>
          <w:rFonts w:ascii="Calibri" w:hAnsi="Calibri"/>
        </w:rPr>
        <w:t xml:space="preserve">   </w:t>
      </w:r>
    </w:p>
    <w:p w14:paraId="031616AF" w14:textId="77777777" w:rsidR="0071759E" w:rsidRDefault="0071759E" w:rsidP="0071759E">
      <w:pPr>
        <w:pStyle w:val="BodyText"/>
        <w:rPr>
          <w:rFonts w:ascii="Calibri"/>
          <w:sz w:val="20"/>
        </w:rPr>
      </w:pPr>
    </w:p>
    <w:p w14:paraId="0170DCD1" w14:textId="77777777" w:rsidR="0071759E" w:rsidRDefault="0071759E" w:rsidP="0071759E">
      <w:pPr>
        <w:pStyle w:val="BodyText"/>
        <w:spacing w:line="40" w:lineRule="exact"/>
        <w:ind w:left="2202"/>
        <w:rPr>
          <w:rFonts w:ascii="Calibri"/>
          <w:sz w:val="4"/>
        </w:rPr>
      </w:pPr>
      <w:r>
        <w:rPr>
          <w:rFonts w:ascii="Calibri"/>
          <w:noProof/>
          <w:sz w:val="4"/>
          <w:lang w:val="de-DE" w:eastAsia="zh-CN"/>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5FE84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74BD7BB3" w:rsidR="0071759E" w:rsidRDefault="0071759E" w:rsidP="0071759E">
      <w:pPr>
        <w:keepNext/>
      </w:pPr>
      <w:r>
        <w:rPr>
          <w:noProof/>
          <w:lang w:val="de-DE" w:eastAsia="zh-CN"/>
        </w:rPr>
        <w:lastRenderedPageBreak/>
        <mc:AlternateContent>
          <mc:Choice Requires="wps">
            <w:drawing>
              <wp:anchor distT="0" distB="0" distL="114300" distR="114300" simplePos="0" relativeHeight="251661312" behindDoc="0" locked="0" layoutInCell="1" allowOverlap="1" wp14:anchorId="7E5BDAE3" wp14:editId="79705178">
                <wp:simplePos x="0" y="0"/>
                <wp:positionH relativeFrom="column">
                  <wp:posOffset>4898148</wp:posOffset>
                </wp:positionH>
                <wp:positionV relativeFrom="paragraph">
                  <wp:posOffset>82024</wp:posOffset>
                </wp:positionV>
                <wp:extent cx="1828570" cy="642026"/>
                <wp:effectExtent l="19050" t="19050" r="19685" b="2476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570" cy="642026"/>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6F94A639" w:rsidR="0071759E" w:rsidRPr="006B44AF" w:rsidRDefault="009C4C63" w:rsidP="0071759E">
                            <w:pPr>
                              <w:pStyle w:val="NoSpacing"/>
                              <w:rPr>
                                <w:rFonts w:ascii="Times New Roman" w:hAnsi="Times New Roman" w:cs="Times New Roman"/>
                                <w:sz w:val="20"/>
                                <w:szCs w:val="20"/>
                              </w:rPr>
                            </w:pPr>
                            <w:r>
                              <w:rPr>
                                <w:noProof/>
                                <w:lang w:val="de-DE" w:eastAsia="zh-CN"/>
                              </w:rPr>
                              <w:drawing>
                                <wp:inline distT="0" distB="0" distL="0" distR="0" wp14:anchorId="50EF6258" wp14:editId="68F9C097">
                                  <wp:extent cx="657225" cy="400510"/>
                                  <wp:effectExtent l="0" t="0" r="0" b="0"/>
                                  <wp:docPr id="5" name="Picture 5" descr="Bildergebnis für dkf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dkfz"/>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400510"/>
                                          </a:xfrm>
                                          <a:prstGeom prst="rect">
                                            <a:avLst/>
                                          </a:prstGeom>
                                          <a:noFill/>
                                          <a:ln>
                                            <a:noFill/>
                                          </a:ln>
                                        </pic:spPr>
                                      </pic:pic>
                                    </a:graphicData>
                                  </a:graphic>
                                </wp:inline>
                              </w:drawing>
                            </w:r>
                            <w:r w:rsidRPr="009C4C63">
                              <w:t xml:space="preserve"> </w:t>
                            </w:r>
                            <w:r>
                              <w:rPr>
                                <w:noProof/>
                                <w:lang w:val="de-DE" w:eastAsia="zh-CN"/>
                              </w:rPr>
                              <w:drawing>
                                <wp:inline distT="0" distB="0" distL="0" distR="0" wp14:anchorId="0A6A51E7" wp14:editId="41604CA1">
                                  <wp:extent cx="817123" cy="429096"/>
                                  <wp:effectExtent l="0" t="0" r="2540" b="9525"/>
                                  <wp:docPr id="8" name="Picture 8" descr="Universität Heidel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ersität Heidelber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0498" cy="4571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E5BDAE3" id="Rounded Rectangle 6" o:spid="_x0000_s1026" style="position:absolute;margin-left:385.7pt;margin-top:6.45pt;width:2in;height:5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" strokecolor="#9bbb59" strokeweight="2.5pt">
                <v:shadow color="#868686"/>
                <v:textbox>
                  <w:txbxContent>
                    <w:p w14:paraId="2DC992AD" w14:textId="6F94A639" w:rsidR="0071759E" w:rsidRPr="006B44AF" w:rsidRDefault="009C4C63" w:rsidP="0071759E">
                      <w:pPr>
                        <w:pStyle w:val="NoSpacing"/>
                        <w:rPr>
                          <w:rFonts w:ascii="Times New Roman" w:hAnsi="Times New Roman" w:cs="Times New Roman"/>
                          <w:sz w:val="20"/>
                          <w:szCs w:val="20"/>
                        </w:rPr>
                      </w:pPr>
                      <w:r>
                        <w:rPr>
                          <w:noProof/>
                          <w:lang w:val="de-DE" w:eastAsia="zh-CN"/>
                        </w:rPr>
                        <w:drawing>
                          <wp:inline distT="0" distB="0" distL="0" distR="0" wp14:anchorId="50EF6258" wp14:editId="68F9C097">
                            <wp:extent cx="657225" cy="400510"/>
                            <wp:effectExtent l="0" t="0" r="0" b="0"/>
                            <wp:docPr id="5" name="Picture 5" descr="Bildergebnis für dkf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dkf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7225" cy="400510"/>
                                    </a:xfrm>
                                    <a:prstGeom prst="rect">
                                      <a:avLst/>
                                    </a:prstGeom>
                                    <a:noFill/>
                                    <a:ln>
                                      <a:noFill/>
                                    </a:ln>
                                  </pic:spPr>
                                </pic:pic>
                              </a:graphicData>
                            </a:graphic>
                          </wp:inline>
                        </w:drawing>
                      </w:r>
                      <w:r w:rsidRPr="009C4C63">
                        <w:t xml:space="preserve"> </w:t>
                      </w:r>
                      <w:r>
                        <w:rPr>
                          <w:noProof/>
                          <w:lang w:val="de-DE" w:eastAsia="zh-CN"/>
                        </w:rPr>
                        <w:drawing>
                          <wp:inline distT="0" distB="0" distL="0" distR="0" wp14:anchorId="0A6A51E7" wp14:editId="41604CA1">
                            <wp:extent cx="817123" cy="429096"/>
                            <wp:effectExtent l="0" t="0" r="2540" b="9525"/>
                            <wp:docPr id="8" name="Picture 8" descr="Universität Heidel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ersität Heidelber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0498" cy="457125"/>
                                    </a:xfrm>
                                    <a:prstGeom prst="rect">
                                      <a:avLst/>
                                    </a:prstGeom>
                                    <a:noFill/>
                                    <a:ln>
                                      <a:noFill/>
                                    </a:ln>
                                  </pic:spPr>
                                </pic:pic>
                              </a:graphicData>
                            </a:graphic>
                          </wp:inline>
                        </w:drawing>
                      </w:r>
                    </w:p>
                  </w:txbxContent>
                </v:textbox>
              </v:roundrect>
            </w:pict>
          </mc:Fallback>
        </mc:AlternateContent>
      </w:r>
      <w:r>
        <w:rPr>
          <w:noProof/>
        </w:rPr>
        <w:t xml:space="preserve">    </w:t>
      </w:r>
      <w:r w:rsidR="006E6819" w:rsidRPr="006E6819">
        <w:rPr>
          <w:rFonts w:eastAsia="MS PGothic"/>
          <w:b/>
          <w:noProof/>
          <w:color w:val="000000"/>
          <w:sz w:val="28"/>
          <w:szCs w:val="28"/>
          <w:lang w:val="de-DE" w:eastAsia="zh-CN"/>
        </w:rPr>
        <w:drawing>
          <wp:inline distT="0" distB="0" distL="0" distR="0" wp14:anchorId="62B4739B" wp14:editId="1FB819AB">
            <wp:extent cx="685800" cy="685800"/>
            <wp:effectExtent l="0" t="0" r="0" b="0"/>
            <wp:docPr id="2" name="Picture 2" descr="C:\Users\guof\Desktop\Feng Guo _ LinkedIn_files\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of\Desktop\Feng Guo _ LinkedIn_files\0_00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243F8647" w14:textId="64F2692B" w:rsidR="006E6819" w:rsidRDefault="009C4C63" w:rsidP="0071759E">
      <w:pPr>
        <w:spacing w:before="92"/>
        <w:ind w:right="4234"/>
        <w:rPr>
          <w:rFonts w:ascii="Arial"/>
          <w:color w:val="BF5A14"/>
        </w:rPr>
      </w:pPr>
      <w:r>
        <w:rPr>
          <w:rFonts w:ascii="Arial"/>
          <w:color w:val="BF5A14"/>
        </w:rPr>
        <w:t xml:space="preserve">  </w:t>
      </w:r>
    </w:p>
    <w:p w14:paraId="7D89B327" w14:textId="1C56D3EE" w:rsidR="0071759E" w:rsidRDefault="0060743E" w:rsidP="0071759E">
      <w:pPr>
        <w:spacing w:before="92"/>
        <w:ind w:right="4234"/>
        <w:rPr>
          <w:rFonts w:ascii="Arial"/>
        </w:rPr>
      </w:pPr>
      <w:r>
        <w:rPr>
          <w:rFonts w:ascii="Arial"/>
          <w:color w:val="BF5A14"/>
        </w:rPr>
        <w:t xml:space="preserve">Biography </w:t>
      </w:r>
      <w:r w:rsidR="0071759E">
        <w:rPr>
          <w:noProof/>
          <w:lang w:val="en-IN" w:eastAsia="en-IN"/>
        </w:rPr>
        <w:t xml:space="preserve">                                                                                  </w:t>
      </w:r>
    </w:p>
    <w:p w14:paraId="3BE08D8B" w14:textId="3F1A4446" w:rsidR="00D05357" w:rsidRPr="00772FE9" w:rsidRDefault="00D05357" w:rsidP="00D05357">
      <w:pPr>
        <w:spacing w:before="41" w:line="154" w:lineRule="exact"/>
        <w:ind w:right="231"/>
        <w:jc w:val="both"/>
        <w:rPr>
          <w:rFonts w:ascii="Arial"/>
          <w:sz w:val="14"/>
        </w:rPr>
      </w:pPr>
      <w:r w:rsidRPr="002C094E">
        <w:rPr>
          <w:rFonts w:ascii="Arial"/>
          <w:sz w:val="14"/>
        </w:rPr>
        <w:t>Feng Guo completed his M.Sc. Epidemiology at</w:t>
      </w:r>
      <w:r>
        <w:rPr>
          <w:rFonts w:ascii="Arial"/>
          <w:sz w:val="14"/>
        </w:rPr>
        <w:t xml:space="preserve"> </w:t>
      </w:r>
      <w:r w:rsidRPr="00772FE9">
        <w:rPr>
          <w:rFonts w:ascii="Arial"/>
          <w:sz w:val="14"/>
        </w:rPr>
        <w:t>Ludwig Maximilian University of Munich</w:t>
      </w:r>
      <w:r w:rsidRPr="002C094E">
        <w:rPr>
          <w:rFonts w:ascii="Arial"/>
          <w:sz w:val="14"/>
        </w:rPr>
        <w:t xml:space="preserve"> in Germany. Now he is a PhD student in the Division of Clinical Epidemiology and Aging Research at the German Cancer Research Center. His</w:t>
      </w:r>
      <w:r w:rsidRPr="002C094E">
        <w:rPr>
          <w:rFonts w:ascii="Arial"/>
          <w:sz w:val="14"/>
        </w:rPr>
        <w:t> </w:t>
      </w:r>
      <w:r w:rsidRPr="002C094E">
        <w:rPr>
          <w:rFonts w:ascii="Arial"/>
          <w:sz w:val="14"/>
        </w:rPr>
        <w:t>research</w:t>
      </w:r>
      <w:r w:rsidRPr="002C094E">
        <w:rPr>
          <w:rFonts w:ascii="Arial"/>
          <w:sz w:val="14"/>
        </w:rPr>
        <w:t> </w:t>
      </w:r>
      <w:r w:rsidRPr="002C094E">
        <w:rPr>
          <w:rFonts w:ascii="Arial"/>
          <w:sz w:val="14"/>
        </w:rPr>
        <w:t>interests</w:t>
      </w:r>
      <w:r w:rsidRPr="002C094E">
        <w:rPr>
          <w:rFonts w:ascii="Arial"/>
          <w:sz w:val="14"/>
        </w:rPr>
        <w:t> </w:t>
      </w:r>
      <w:r w:rsidRPr="002C094E">
        <w:rPr>
          <w:rFonts w:ascii="Arial"/>
          <w:sz w:val="14"/>
        </w:rPr>
        <w:t>focus</w:t>
      </w:r>
      <w:r w:rsidRPr="002C094E">
        <w:rPr>
          <w:rFonts w:ascii="Arial"/>
          <w:sz w:val="14"/>
        </w:rPr>
        <w:t> </w:t>
      </w:r>
      <w:r w:rsidRPr="002C094E">
        <w:rPr>
          <w:rFonts w:ascii="Arial"/>
          <w:sz w:val="14"/>
        </w:rPr>
        <w:t>on examining the effect of screening colonoscopy on</w:t>
      </w:r>
      <w:r w:rsidR="0060743E">
        <w:rPr>
          <w:rFonts w:ascii="Arial"/>
          <w:sz w:val="14"/>
        </w:rPr>
        <w:t xml:space="preserve"> reducing the risk of</w:t>
      </w:r>
      <w:r w:rsidRPr="002C094E">
        <w:rPr>
          <w:rFonts w:ascii="Arial"/>
          <w:sz w:val="14"/>
        </w:rPr>
        <w:t xml:space="preserve"> colorectal cancer and evaluating the </w:t>
      </w:r>
      <w:r w:rsidR="006031CE">
        <w:rPr>
          <w:rFonts w:ascii="Arial"/>
          <w:sz w:val="14"/>
        </w:rPr>
        <w:t>impact</w:t>
      </w:r>
      <w:r w:rsidRPr="002C094E">
        <w:rPr>
          <w:rFonts w:ascii="Arial"/>
          <w:sz w:val="14"/>
        </w:rPr>
        <w:t xml:space="preserve"> of genetic risk factors on this cancer. </w:t>
      </w:r>
    </w:p>
    <w:p w14:paraId="0497A3AF" w14:textId="77777777" w:rsidR="009C4C63" w:rsidRDefault="0071759E" w:rsidP="009C4C63">
      <w:pPr>
        <w:jc w:val="center"/>
        <w:rPr>
          <w:rFonts w:ascii="Arial" w:eastAsiaTheme="minorEastAsia" w:hAnsi="Arial" w:cs="Arial"/>
          <w:noProof/>
          <w:color w:val="0047B9"/>
          <w:sz w:val="20"/>
          <w:szCs w:val="20"/>
        </w:rPr>
      </w:pPr>
      <w:r>
        <w:rPr>
          <w:rFonts w:ascii="Arial"/>
          <w:sz w:val="14"/>
        </w:rPr>
        <w:t>Email:</w:t>
      </w:r>
      <w:r w:rsidR="009C4C63" w:rsidRPr="009C4C63">
        <w:rPr>
          <w:rFonts w:ascii="Arial"/>
          <w:sz w:val="14"/>
          <w:szCs w:val="14"/>
        </w:rPr>
        <w:t xml:space="preserve"> </w:t>
      </w:r>
      <w:hyperlink r:id="rId14" w:history="1">
        <w:r w:rsidR="009C4C63" w:rsidRPr="009C4C63">
          <w:rPr>
            <w:rStyle w:val="Hyperlink"/>
            <w:noProof/>
            <w:color w:val="0563C1"/>
            <w:sz w:val="14"/>
            <w:szCs w:val="14"/>
          </w:rPr>
          <w:t>f.guo@dkfz-heidelberg.de</w:t>
        </w:r>
      </w:hyperlink>
    </w:p>
    <w:p w14:paraId="406FC9CD" w14:textId="2AC5E2B9" w:rsidR="0071759E" w:rsidRDefault="0071759E" w:rsidP="009C4C63">
      <w:pPr>
        <w:spacing w:before="62"/>
        <w:ind w:left="4217" w:right="4235"/>
        <w:jc w:val="center"/>
        <w:rPr>
          <w:rFonts w:ascii="Arial"/>
          <w:sz w:val="19"/>
        </w:rPr>
      </w:pPr>
      <w:r>
        <w:rPr>
          <w:noProof/>
          <w:lang w:val="de-DE" w:eastAsia="zh-CN"/>
        </w:rPr>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BCF38F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FF4B641" w14:textId="77777777" w:rsidR="0071759E" w:rsidRDefault="0071759E" w:rsidP="0071759E">
      <w:pPr>
        <w:rPr>
          <w:rFonts w:ascii="Minion Pro"/>
          <w:sz w:val="24"/>
        </w:rPr>
        <w:sectPr w:rsidR="0071759E">
          <w:type w:val="continuous"/>
          <w:pgSz w:w="11910" w:h="16840"/>
          <w:pgMar w:top="1740" w:right="600" w:bottom="840" w:left="620" w:header="720" w:footer="720" w:gutter="0"/>
          <w:cols w:space="720"/>
        </w:sectPr>
      </w:pPr>
    </w:p>
    <w:p w14:paraId="2A00BE5F" w14:textId="77777777" w:rsidR="0071759E" w:rsidRDefault="0071759E" w:rsidP="0071759E">
      <w:pPr>
        <w:pStyle w:val="BodyText"/>
        <w:spacing w:before="3"/>
        <w:rPr>
          <w:rFonts w:ascii="Minion Pro"/>
          <w:sz w:val="26"/>
        </w:rPr>
      </w:pPr>
    </w:p>
    <w:p w14:paraId="7994056B" w14:textId="77777777" w:rsidR="0071759E" w:rsidRDefault="0071759E" w:rsidP="0071759E">
      <w:pPr>
        <w:pStyle w:val="BodyText"/>
        <w:spacing w:before="3"/>
        <w:rPr>
          <w:rFonts w:ascii="Minion Pro"/>
          <w:sz w:val="26"/>
        </w:rPr>
      </w:pPr>
    </w:p>
    <w:p w14:paraId="3EA0E1F1" w14:textId="77777777" w:rsidR="0071759E" w:rsidRDefault="0071759E" w:rsidP="0071759E">
      <w:pPr>
        <w:pStyle w:val="BodyText"/>
        <w:spacing w:before="3"/>
        <w:rPr>
          <w:rFonts w:ascii="Minion Pro"/>
          <w:sz w:val="26"/>
        </w:rPr>
      </w:pPr>
    </w:p>
    <w:p w14:paraId="3D08AEFF" w14:textId="77777777" w:rsidR="0071759E" w:rsidRDefault="0071759E" w:rsidP="0071759E">
      <w:pPr>
        <w:pStyle w:val="BodyText"/>
        <w:spacing w:before="3"/>
        <w:rPr>
          <w:rFonts w:ascii="Minion Pro"/>
          <w:sz w:val="26"/>
        </w:rPr>
      </w:pPr>
    </w:p>
    <w:p w14:paraId="62BC9A15" w14:textId="77777777" w:rsidR="006E7666" w:rsidRDefault="006E7666">
      <w:bookmarkStart w:id="0" w:name="_GoBack"/>
      <w:bookmarkEnd w:id="0"/>
    </w:p>
    <w:p w14:paraId="7AB76CF1" w14:textId="77777777" w:rsidR="006E7666" w:rsidRDefault="006E7666"/>
    <w:p w14:paraId="112E3B51" w14:textId="4886BBE5" w:rsidR="00FD6171" w:rsidRDefault="006E7666">
      <w:r>
        <w:fldChar w:fldCharType="begin"/>
      </w:r>
      <w:r w:rsidRPr="006E7666">
        <w:rPr>
          <w:lang w:val="de-DE"/>
        </w:rPr>
        <w:instrText xml:space="preserve"> ADDIN EN.REFLIST </w:instrText>
      </w:r>
      <w:r>
        <w:fldChar w:fldCharType="end"/>
      </w:r>
    </w:p>
    <w:sectPr w:rsidR="00FD61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EAC58" w14:textId="77777777" w:rsidR="009A0B1C" w:rsidRDefault="009A0B1C" w:rsidP="0071759E">
      <w:r>
        <w:separator/>
      </w:r>
    </w:p>
  </w:endnote>
  <w:endnote w:type="continuationSeparator" w:id="0">
    <w:p w14:paraId="3039163A" w14:textId="77777777" w:rsidR="009A0B1C" w:rsidRDefault="009A0B1C"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DengXian">
    <w:altName w:val="等线"/>
    <w:panose1 w:val="00000000000000000000"/>
    <w:charset w:val="86"/>
    <w:family w:val="roman"/>
    <w:notTrueType/>
    <w:pitch w:val="default"/>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D5C02" w14:textId="77777777" w:rsidR="00AE3E37" w:rsidRPr="002B0A93" w:rsidRDefault="00076977"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9264E5">
      <w:rPr>
        <w:rFonts w:ascii="Times New Roman" w:hAnsi="Times New Roman" w:cs="Times New Roman"/>
        <w:sz w:val="28"/>
        <w:szCs w:val="28"/>
        <w:lang w:val="en-IN"/>
      </w:rPr>
      <w:t xml:space="preserve">               Colorectal cancer conference</w:t>
    </w:r>
    <w:r>
      <w:rPr>
        <w:rFonts w:ascii="Times New Roman" w:hAnsi="Times New Roman" w:cs="Times New Roman"/>
        <w:sz w:val="28"/>
        <w:szCs w:val="28"/>
        <w:lang w:val="en-IN"/>
      </w:rPr>
      <w:t xml:space="preserve"> 2018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619C50" w14:textId="77777777" w:rsidR="009A0B1C" w:rsidRDefault="009A0B1C" w:rsidP="0071759E">
      <w:r>
        <w:separator/>
      </w:r>
    </w:p>
  </w:footnote>
  <w:footnote w:type="continuationSeparator" w:id="0">
    <w:p w14:paraId="21C7D00B" w14:textId="77777777" w:rsidR="009A0B1C" w:rsidRDefault="009A0B1C" w:rsidP="007175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701C34" w14:textId="76263E99" w:rsidR="009264E5" w:rsidRPr="001A5452" w:rsidRDefault="009D2F13" w:rsidP="001A5452">
    <w:pPr>
      <w:pStyle w:val="Header"/>
    </w:pPr>
    <w:r>
      <w:rPr>
        <w:noProof/>
        <w:lang w:val="de-DE" w:eastAsia="zh-CN"/>
      </w:rPr>
      <w:drawing>
        <wp:inline distT="0" distB="0" distL="0" distR="0" wp14:anchorId="5AD7CE68" wp14:editId="1916003B">
          <wp:extent cx="6980692" cy="90518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8846" cy="92180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ndoscopy&lt;/Style&gt;&lt;LeftDelim&gt;{&lt;/LeftDelim&gt;&lt;RightDelim&gt;}&lt;/RightDelim&gt;&lt;FontName&gt;Tw Cen M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t02vrtzepxst7evwt3pazrczst92z09d50s&quot;&gt;Systematic review_Colonoscopy_Converted&lt;record-ids&gt;&lt;item&gt;2023&lt;/item&gt;&lt;/record-ids&gt;&lt;/item&gt;&lt;/Libraries&gt;"/>
  </w:docVars>
  <w:rsids>
    <w:rsidRoot w:val="0071759E"/>
    <w:rsid w:val="00076977"/>
    <w:rsid w:val="001A5452"/>
    <w:rsid w:val="00255199"/>
    <w:rsid w:val="00471E2E"/>
    <w:rsid w:val="005A0825"/>
    <w:rsid w:val="006031CE"/>
    <w:rsid w:val="0060743E"/>
    <w:rsid w:val="006B2088"/>
    <w:rsid w:val="006C3950"/>
    <w:rsid w:val="006E6819"/>
    <w:rsid w:val="006E7666"/>
    <w:rsid w:val="0071759E"/>
    <w:rsid w:val="008406C8"/>
    <w:rsid w:val="009264E5"/>
    <w:rsid w:val="00987F2C"/>
    <w:rsid w:val="009A0B1C"/>
    <w:rsid w:val="009C4C63"/>
    <w:rsid w:val="009D2F13"/>
    <w:rsid w:val="00C36024"/>
    <w:rsid w:val="00D05357"/>
    <w:rsid w:val="00E3083E"/>
    <w:rsid w:val="00EA7B0D"/>
    <w:rsid w:val="00FD6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9F34"/>
  <w15:chartTrackingRefBased/>
  <w15:docId w15:val="{28CA9B4C-66A0-459D-8188-6E0E58B8F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customStyle="1" w:styleId="EndNoteBibliographyTitle">
    <w:name w:val="EndNote Bibliography Title"/>
    <w:basedOn w:val="Normal"/>
    <w:link w:val="EndNoteBibliographyTitleChar"/>
    <w:rsid w:val="006E7666"/>
    <w:pPr>
      <w:jc w:val="center"/>
    </w:pPr>
    <w:rPr>
      <w:noProof/>
    </w:rPr>
  </w:style>
  <w:style w:type="character" w:customStyle="1" w:styleId="EndNoteBibliographyTitleChar">
    <w:name w:val="EndNote Bibliography Title Char"/>
    <w:basedOn w:val="DefaultParagraphFont"/>
    <w:link w:val="EndNoteBibliographyTitle"/>
    <w:rsid w:val="006E7666"/>
    <w:rPr>
      <w:rFonts w:ascii="Tw Cen MT" w:eastAsia="Tw Cen MT" w:hAnsi="Tw Cen MT" w:cs="Tw Cen MT"/>
      <w:noProof/>
    </w:rPr>
  </w:style>
  <w:style w:type="paragraph" w:customStyle="1" w:styleId="EndNoteBibliography">
    <w:name w:val="EndNote Bibliography"/>
    <w:basedOn w:val="Normal"/>
    <w:link w:val="EndNoteBibliographyChar"/>
    <w:rsid w:val="006E7666"/>
    <w:rPr>
      <w:noProof/>
    </w:rPr>
  </w:style>
  <w:style w:type="character" w:customStyle="1" w:styleId="EndNoteBibliographyChar">
    <w:name w:val="EndNote Bibliography Char"/>
    <w:basedOn w:val="DefaultParagraphFont"/>
    <w:link w:val="EndNoteBibliography"/>
    <w:rsid w:val="006E7666"/>
    <w:rPr>
      <w:rFonts w:ascii="Tw Cen MT" w:eastAsia="Tw Cen MT" w:hAnsi="Tw Cen MT" w:cs="Tw Cen MT"/>
      <w:noProof/>
    </w:rPr>
  </w:style>
  <w:style w:type="character" w:styleId="Emphasis">
    <w:name w:val="Emphasis"/>
    <w:basedOn w:val="DefaultParagraphFont"/>
    <w:uiPriority w:val="20"/>
    <w:qFormat/>
    <w:rsid w:val="006E68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91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0.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f.guo@dkfz-heidelber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Guo, Feng</cp:lastModifiedBy>
  <cp:revision>5</cp:revision>
  <dcterms:created xsi:type="dcterms:W3CDTF">2018-07-27T14:23:00Z</dcterms:created>
  <dcterms:modified xsi:type="dcterms:W3CDTF">2018-07-27T15:25:00Z</dcterms:modified>
</cp:coreProperties>
</file>