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4A8" w:rsidRPr="00DA22A8" w:rsidRDefault="007134A8" w:rsidP="007134A8">
      <w:pPr>
        <w:pStyle w:val="NoSpacing"/>
        <w:rPr>
          <w:b/>
          <w:sz w:val="28"/>
          <w:szCs w:val="28"/>
        </w:rPr>
      </w:pPr>
      <w:r>
        <w:rPr>
          <w:b/>
          <w:sz w:val="28"/>
          <w:szCs w:val="28"/>
        </w:rPr>
        <w:t>Associations of pre-</w:t>
      </w:r>
      <w:r w:rsidRPr="00DA22A8">
        <w:rPr>
          <w:b/>
          <w:sz w:val="28"/>
          <w:szCs w:val="28"/>
        </w:rPr>
        <w:t xml:space="preserve">and </w:t>
      </w:r>
      <w:r>
        <w:rPr>
          <w:b/>
          <w:sz w:val="28"/>
          <w:szCs w:val="28"/>
        </w:rPr>
        <w:t>post-diagnosis</w:t>
      </w:r>
      <w:r w:rsidRPr="00DA22A8">
        <w:rPr>
          <w:b/>
          <w:sz w:val="28"/>
          <w:szCs w:val="28"/>
        </w:rPr>
        <w:t xml:space="preserve"> domain-specific physical activity</w:t>
      </w:r>
      <w:r>
        <w:rPr>
          <w:b/>
          <w:sz w:val="28"/>
          <w:szCs w:val="28"/>
        </w:rPr>
        <w:t xml:space="preserve"> and</w:t>
      </w:r>
      <w:r w:rsidRPr="00DA22A8">
        <w:rPr>
          <w:b/>
          <w:sz w:val="28"/>
          <w:szCs w:val="28"/>
        </w:rPr>
        <w:t xml:space="preserve"> television viewing time </w:t>
      </w:r>
      <w:r>
        <w:rPr>
          <w:b/>
          <w:sz w:val="28"/>
          <w:szCs w:val="28"/>
        </w:rPr>
        <w:t>with</w:t>
      </w:r>
      <w:r w:rsidRPr="00DA22A8">
        <w:rPr>
          <w:b/>
          <w:sz w:val="28"/>
          <w:szCs w:val="28"/>
        </w:rPr>
        <w:t xml:space="preserve"> </w:t>
      </w:r>
      <w:r>
        <w:rPr>
          <w:b/>
          <w:sz w:val="28"/>
          <w:szCs w:val="28"/>
        </w:rPr>
        <w:t xml:space="preserve">excess </w:t>
      </w:r>
      <w:r w:rsidRPr="00DA22A8">
        <w:rPr>
          <w:b/>
          <w:sz w:val="28"/>
          <w:szCs w:val="28"/>
        </w:rPr>
        <w:t xml:space="preserve">mortality </w:t>
      </w:r>
      <w:r>
        <w:rPr>
          <w:b/>
          <w:sz w:val="28"/>
          <w:szCs w:val="28"/>
        </w:rPr>
        <w:t>in</w:t>
      </w:r>
      <w:r w:rsidRPr="00DA22A8">
        <w:rPr>
          <w:b/>
          <w:sz w:val="28"/>
          <w:szCs w:val="28"/>
        </w:rPr>
        <w:t xml:space="preserve"> colorectal cancer </w:t>
      </w:r>
      <w:r>
        <w:rPr>
          <w:b/>
          <w:sz w:val="28"/>
          <w:szCs w:val="28"/>
        </w:rPr>
        <w:t xml:space="preserve">survivors: </w:t>
      </w:r>
      <w:r w:rsidRPr="00DA22A8">
        <w:rPr>
          <w:b/>
          <w:sz w:val="28"/>
          <w:szCs w:val="28"/>
        </w:rPr>
        <w:t xml:space="preserve"> the Melbourne Collaborative Cohort Study </w:t>
      </w:r>
    </w:p>
    <w:p w:rsidR="007134A8" w:rsidRDefault="007134A8" w:rsidP="007134A8">
      <w:pPr>
        <w:jc w:val="center"/>
        <w:rPr>
          <w:b/>
          <w:sz w:val="32"/>
          <w:szCs w:val="32"/>
        </w:rPr>
      </w:pPr>
    </w:p>
    <w:p w:rsidR="007134A8" w:rsidRPr="0019106A" w:rsidRDefault="007134A8" w:rsidP="007134A8">
      <w:pPr>
        <w:spacing w:after="0" w:line="240" w:lineRule="auto"/>
        <w:rPr>
          <w:rFonts w:eastAsia="ArialMT"/>
          <w:sz w:val="24"/>
          <w:szCs w:val="24"/>
          <w:lang w:val="en-US"/>
        </w:rPr>
      </w:pPr>
      <w:r w:rsidRPr="0019106A">
        <w:rPr>
          <w:rFonts w:eastAsia="ArialMT"/>
          <w:sz w:val="24"/>
          <w:szCs w:val="24"/>
          <w:lang w:val="en-US"/>
        </w:rPr>
        <w:t>Shahid Mahmood,</w:t>
      </w:r>
      <w:r w:rsidRPr="0019106A">
        <w:rPr>
          <w:rFonts w:eastAsia="ArialMT"/>
          <w:sz w:val="24"/>
          <w:szCs w:val="24"/>
          <w:vertAlign w:val="superscript"/>
          <w:lang w:val="en-US"/>
        </w:rPr>
        <w:t>1</w:t>
      </w:r>
      <w:r>
        <w:rPr>
          <w:rFonts w:eastAsia="ArialMT"/>
          <w:sz w:val="24"/>
          <w:szCs w:val="24"/>
          <w:vertAlign w:val="superscript"/>
          <w:lang w:val="en-US"/>
        </w:rPr>
        <w:t>,2</w:t>
      </w:r>
      <w:r w:rsidRPr="0019106A">
        <w:rPr>
          <w:rFonts w:eastAsia="ArialMT"/>
          <w:sz w:val="24"/>
          <w:szCs w:val="24"/>
          <w:lang w:val="en-US"/>
        </w:rPr>
        <w:t xml:space="preserve"> Dallas R. English,</w:t>
      </w:r>
      <w:r w:rsidRPr="0019106A">
        <w:rPr>
          <w:rFonts w:eastAsia="ArialMT"/>
          <w:sz w:val="24"/>
          <w:szCs w:val="24"/>
          <w:vertAlign w:val="superscript"/>
          <w:lang w:val="en-US"/>
        </w:rPr>
        <w:t>1,2</w:t>
      </w:r>
      <w:r w:rsidRPr="0019106A">
        <w:rPr>
          <w:rFonts w:eastAsia="ArialMT"/>
          <w:sz w:val="24"/>
          <w:szCs w:val="24"/>
          <w:lang w:val="en-US"/>
        </w:rPr>
        <w:t xml:space="preserve"> Robert J. MacInnis,</w:t>
      </w:r>
      <w:r w:rsidRPr="0019106A">
        <w:rPr>
          <w:rFonts w:eastAsia="ArialMT"/>
          <w:sz w:val="24"/>
          <w:szCs w:val="24"/>
          <w:vertAlign w:val="superscript"/>
          <w:lang w:val="en-US"/>
        </w:rPr>
        <w:t>1,2</w:t>
      </w:r>
      <w:r w:rsidRPr="0019106A">
        <w:rPr>
          <w:rFonts w:eastAsia="ArialMT"/>
          <w:sz w:val="24"/>
          <w:szCs w:val="24"/>
          <w:lang w:val="en-US"/>
        </w:rPr>
        <w:t xml:space="preserve"> Amalia Karahalios,</w:t>
      </w:r>
      <w:r w:rsidRPr="0019106A">
        <w:rPr>
          <w:rFonts w:eastAsia="ArialMT"/>
          <w:sz w:val="24"/>
          <w:szCs w:val="24"/>
          <w:vertAlign w:val="superscript"/>
          <w:lang w:val="en-US"/>
        </w:rPr>
        <w:t>1</w:t>
      </w:r>
      <w:r>
        <w:rPr>
          <w:rFonts w:eastAsia="ArialMT"/>
          <w:sz w:val="24"/>
          <w:szCs w:val="24"/>
          <w:vertAlign w:val="superscript"/>
          <w:lang w:val="en-US"/>
        </w:rPr>
        <w:t xml:space="preserve"> </w:t>
      </w:r>
      <w:r>
        <w:rPr>
          <w:rFonts w:eastAsia="ArialMT"/>
          <w:sz w:val="24"/>
          <w:szCs w:val="24"/>
          <w:lang w:val="en-US"/>
        </w:rPr>
        <w:t>Harindra Jayasakera,</w:t>
      </w:r>
      <w:r w:rsidRPr="00061F39">
        <w:rPr>
          <w:rFonts w:eastAsia="ArialMT"/>
          <w:sz w:val="24"/>
          <w:szCs w:val="24"/>
          <w:vertAlign w:val="superscript"/>
          <w:lang w:val="en-US"/>
        </w:rPr>
        <w:t>2</w:t>
      </w:r>
      <w:r>
        <w:rPr>
          <w:rFonts w:eastAsia="ArialMT"/>
          <w:sz w:val="24"/>
          <w:szCs w:val="24"/>
          <w:vertAlign w:val="superscript"/>
          <w:lang w:val="en-US"/>
        </w:rPr>
        <w:t>,</w:t>
      </w:r>
      <w:r w:rsidRPr="00061F39">
        <w:rPr>
          <w:rFonts w:eastAsia="ArialMT"/>
          <w:sz w:val="24"/>
          <w:szCs w:val="24"/>
          <w:vertAlign w:val="superscript"/>
          <w:lang w:val="en-US"/>
        </w:rPr>
        <w:t>7,</w:t>
      </w:r>
      <w:proofErr w:type="gramStart"/>
      <w:r w:rsidRPr="00061F39">
        <w:rPr>
          <w:rFonts w:eastAsia="ArialMT"/>
          <w:sz w:val="24"/>
          <w:szCs w:val="24"/>
          <w:vertAlign w:val="superscript"/>
          <w:lang w:val="en-US"/>
        </w:rPr>
        <w:t>8</w:t>
      </w:r>
      <w:r>
        <w:rPr>
          <w:rFonts w:eastAsia="ArialMT"/>
          <w:sz w:val="24"/>
          <w:szCs w:val="24"/>
          <w:vertAlign w:val="superscript"/>
          <w:lang w:val="en-US"/>
        </w:rPr>
        <w:t xml:space="preserve"> </w:t>
      </w:r>
      <w:r>
        <w:rPr>
          <w:rFonts w:eastAsia="ArialMT"/>
          <w:sz w:val="24"/>
          <w:szCs w:val="24"/>
          <w:lang w:val="en-US"/>
        </w:rPr>
        <w:t xml:space="preserve"> Andrew</w:t>
      </w:r>
      <w:proofErr w:type="gramEnd"/>
      <w:r>
        <w:rPr>
          <w:rFonts w:eastAsia="ArialMT"/>
          <w:sz w:val="24"/>
          <w:szCs w:val="24"/>
          <w:lang w:val="en-US"/>
        </w:rPr>
        <w:t xml:space="preserve"> Haydon</w:t>
      </w:r>
      <w:r w:rsidRPr="00A541C2">
        <w:rPr>
          <w:rFonts w:eastAsia="ArialMT"/>
          <w:sz w:val="24"/>
          <w:szCs w:val="24"/>
          <w:vertAlign w:val="superscript"/>
          <w:lang w:val="en-US"/>
        </w:rPr>
        <w:t>9</w:t>
      </w:r>
      <w:r>
        <w:rPr>
          <w:rFonts w:eastAsia="ArialMT"/>
          <w:sz w:val="24"/>
          <w:szCs w:val="24"/>
          <w:lang w:val="en-US"/>
        </w:rPr>
        <w:t xml:space="preserve">, </w:t>
      </w:r>
      <w:r w:rsidRPr="0019106A">
        <w:rPr>
          <w:rFonts w:eastAsia="ArialMT"/>
          <w:sz w:val="24"/>
          <w:szCs w:val="24"/>
          <w:lang w:val="en-US"/>
        </w:rPr>
        <w:t xml:space="preserve"> Neville Owen,</w:t>
      </w:r>
      <w:r w:rsidRPr="0019106A">
        <w:rPr>
          <w:rFonts w:eastAsia="ArialMT"/>
          <w:sz w:val="24"/>
          <w:szCs w:val="24"/>
          <w:vertAlign w:val="superscript"/>
          <w:lang w:val="en-US"/>
        </w:rPr>
        <w:t>1,3,4,5</w:t>
      </w:r>
      <w:r>
        <w:rPr>
          <w:rFonts w:eastAsia="ArialMT"/>
          <w:sz w:val="24"/>
          <w:szCs w:val="24"/>
          <w:vertAlign w:val="superscript"/>
          <w:lang w:val="en-US"/>
        </w:rPr>
        <w:t>,6</w:t>
      </w:r>
      <w:r w:rsidRPr="0019106A">
        <w:rPr>
          <w:rFonts w:eastAsia="ArialMT"/>
          <w:sz w:val="24"/>
          <w:szCs w:val="24"/>
          <w:lang w:val="en-US"/>
        </w:rPr>
        <w:t xml:space="preserve"> Roger L. Milne,</w:t>
      </w:r>
      <w:r w:rsidRPr="0019106A">
        <w:rPr>
          <w:rFonts w:eastAsia="ArialMT"/>
          <w:sz w:val="24"/>
          <w:szCs w:val="24"/>
          <w:vertAlign w:val="superscript"/>
          <w:lang w:val="en-US"/>
        </w:rPr>
        <w:t>1,2</w:t>
      </w:r>
      <w:r w:rsidRPr="0019106A">
        <w:rPr>
          <w:rFonts w:eastAsia="ArialMT"/>
          <w:sz w:val="24"/>
          <w:szCs w:val="24"/>
          <w:lang w:val="en-US"/>
        </w:rPr>
        <w:t xml:space="preserve"> Graham G. Giles,</w:t>
      </w:r>
      <w:r w:rsidRPr="0019106A">
        <w:rPr>
          <w:rFonts w:eastAsia="ArialMT"/>
          <w:sz w:val="24"/>
          <w:szCs w:val="24"/>
          <w:vertAlign w:val="superscript"/>
          <w:lang w:val="en-US"/>
        </w:rPr>
        <w:t xml:space="preserve">1,2 </w:t>
      </w:r>
      <w:r w:rsidRPr="0019106A">
        <w:rPr>
          <w:rFonts w:eastAsia="ArialMT"/>
          <w:sz w:val="24"/>
          <w:szCs w:val="24"/>
          <w:lang w:val="en-US"/>
        </w:rPr>
        <w:t>Brigid M. Lynch</w:t>
      </w:r>
      <w:r>
        <w:rPr>
          <w:rFonts w:eastAsia="ArialMT"/>
          <w:sz w:val="24"/>
          <w:szCs w:val="24"/>
          <w:vertAlign w:val="superscript"/>
          <w:lang w:val="en-US"/>
        </w:rPr>
        <w:t>1,2</w:t>
      </w:r>
      <w:r w:rsidRPr="0019106A">
        <w:rPr>
          <w:rFonts w:eastAsia="ArialMT"/>
          <w:sz w:val="24"/>
          <w:szCs w:val="24"/>
          <w:vertAlign w:val="superscript"/>
          <w:lang w:val="en-US"/>
        </w:rPr>
        <w:t xml:space="preserve"> </w:t>
      </w:r>
    </w:p>
    <w:p w:rsidR="007134A8" w:rsidRPr="0019106A" w:rsidRDefault="007134A8" w:rsidP="007134A8">
      <w:pPr>
        <w:spacing w:after="0" w:line="240" w:lineRule="auto"/>
        <w:rPr>
          <w:rFonts w:eastAsia="ArialMT"/>
          <w:sz w:val="24"/>
          <w:szCs w:val="24"/>
          <w:lang w:val="en-US"/>
        </w:rPr>
      </w:pPr>
    </w:p>
    <w:p w:rsidR="007134A8" w:rsidRPr="0019106A" w:rsidRDefault="007134A8" w:rsidP="007134A8">
      <w:pPr>
        <w:spacing w:after="0" w:line="240" w:lineRule="auto"/>
        <w:rPr>
          <w:sz w:val="24"/>
          <w:szCs w:val="24"/>
          <w:lang w:val="en-US"/>
        </w:rPr>
      </w:pPr>
      <w:proofErr w:type="gramStart"/>
      <w:r w:rsidRPr="0019106A">
        <w:rPr>
          <w:sz w:val="24"/>
          <w:szCs w:val="24"/>
          <w:vertAlign w:val="superscript"/>
          <w:lang w:val="en-US"/>
        </w:rPr>
        <w:t>1</w:t>
      </w:r>
      <w:r w:rsidRPr="0019106A">
        <w:rPr>
          <w:sz w:val="24"/>
          <w:szCs w:val="24"/>
          <w:lang w:val="en-US"/>
        </w:rPr>
        <w:t xml:space="preserve">  Melbourne</w:t>
      </w:r>
      <w:proofErr w:type="gramEnd"/>
      <w:r w:rsidRPr="0019106A">
        <w:rPr>
          <w:sz w:val="24"/>
          <w:szCs w:val="24"/>
          <w:lang w:val="en-US"/>
        </w:rPr>
        <w:t xml:space="preserve"> School of Population and Global Health, </w:t>
      </w:r>
      <w:r>
        <w:rPr>
          <w:sz w:val="24"/>
          <w:szCs w:val="24"/>
          <w:lang w:val="en-US"/>
        </w:rPr>
        <w:t xml:space="preserve"> The </w:t>
      </w:r>
      <w:r w:rsidRPr="0019106A">
        <w:rPr>
          <w:sz w:val="24"/>
          <w:szCs w:val="24"/>
          <w:lang w:val="en-US"/>
        </w:rPr>
        <w:t>University of Melbourne, Victoria, Australia</w:t>
      </w:r>
    </w:p>
    <w:p w:rsidR="007134A8" w:rsidRPr="0019106A" w:rsidRDefault="007134A8" w:rsidP="007134A8">
      <w:pPr>
        <w:spacing w:after="0" w:line="240" w:lineRule="auto"/>
        <w:rPr>
          <w:sz w:val="24"/>
          <w:szCs w:val="24"/>
          <w:lang w:val="en-US"/>
        </w:rPr>
      </w:pPr>
      <w:proofErr w:type="gramStart"/>
      <w:r w:rsidRPr="0019106A">
        <w:rPr>
          <w:sz w:val="24"/>
          <w:szCs w:val="24"/>
          <w:vertAlign w:val="superscript"/>
          <w:lang w:val="en-US"/>
        </w:rPr>
        <w:t>2</w:t>
      </w:r>
      <w:r w:rsidRPr="0019106A">
        <w:rPr>
          <w:sz w:val="24"/>
          <w:szCs w:val="24"/>
          <w:lang w:val="en-US"/>
        </w:rPr>
        <w:t xml:space="preserve">  Cancer</w:t>
      </w:r>
      <w:proofErr w:type="gramEnd"/>
      <w:r w:rsidRPr="0019106A">
        <w:rPr>
          <w:sz w:val="24"/>
          <w:szCs w:val="24"/>
          <w:lang w:val="en-US"/>
        </w:rPr>
        <w:t xml:space="preserve"> Epidemiology and Intelligence Division, Cancer Council Victoria, Melbourne, Australia </w:t>
      </w:r>
    </w:p>
    <w:p w:rsidR="007134A8" w:rsidRPr="0019106A" w:rsidRDefault="007134A8" w:rsidP="007134A8">
      <w:pPr>
        <w:spacing w:after="0" w:line="240" w:lineRule="auto"/>
        <w:rPr>
          <w:rFonts w:eastAsia="ArialMT"/>
          <w:sz w:val="24"/>
          <w:szCs w:val="24"/>
          <w:lang w:val="en-US"/>
        </w:rPr>
      </w:pPr>
      <w:r w:rsidRPr="002E3E4A">
        <w:rPr>
          <w:rFonts w:eastAsia="ArialMT"/>
          <w:sz w:val="24"/>
          <w:szCs w:val="24"/>
          <w:vertAlign w:val="superscript"/>
          <w:lang w:val="en-US"/>
        </w:rPr>
        <w:t>3</w:t>
      </w:r>
      <w:r w:rsidRPr="0019106A">
        <w:rPr>
          <w:rFonts w:eastAsia="ArialMT"/>
          <w:sz w:val="24"/>
          <w:szCs w:val="24"/>
          <w:lang w:val="en-US"/>
        </w:rPr>
        <w:t xml:space="preserve"> </w:t>
      </w:r>
      <w:r>
        <w:rPr>
          <w:rFonts w:eastAsia="ArialMT"/>
          <w:sz w:val="24"/>
          <w:szCs w:val="24"/>
          <w:lang w:val="en-US"/>
        </w:rPr>
        <w:t xml:space="preserve">Behavioural Epidemiology </w:t>
      </w:r>
      <w:r w:rsidRPr="0019106A">
        <w:rPr>
          <w:rFonts w:eastAsia="ArialMT"/>
          <w:sz w:val="24"/>
          <w:szCs w:val="24"/>
          <w:lang w:val="en-US"/>
        </w:rPr>
        <w:t>Laboratory, Baker Heart and Diabetes Institute, Melbourne, Australia</w:t>
      </w:r>
    </w:p>
    <w:p w:rsidR="007134A8" w:rsidRPr="0019106A" w:rsidRDefault="007134A8" w:rsidP="007134A8">
      <w:pPr>
        <w:spacing w:after="0" w:line="240" w:lineRule="auto"/>
        <w:rPr>
          <w:rFonts w:eastAsia="ArialMT"/>
          <w:sz w:val="24"/>
          <w:szCs w:val="24"/>
          <w:lang w:val="en-US"/>
        </w:rPr>
      </w:pPr>
      <w:proofErr w:type="gramStart"/>
      <w:r w:rsidRPr="0019106A">
        <w:rPr>
          <w:rFonts w:eastAsia="ArialMT"/>
          <w:sz w:val="24"/>
          <w:szCs w:val="24"/>
          <w:vertAlign w:val="superscript"/>
          <w:lang w:val="en-US"/>
        </w:rPr>
        <w:t>4</w:t>
      </w:r>
      <w:r w:rsidRPr="0019106A">
        <w:rPr>
          <w:rFonts w:eastAsia="ArialMT"/>
          <w:sz w:val="24"/>
          <w:szCs w:val="24"/>
          <w:lang w:val="en-US"/>
        </w:rPr>
        <w:t xml:space="preserve"> </w:t>
      </w:r>
      <w:r>
        <w:rPr>
          <w:rFonts w:eastAsia="ArialMT"/>
          <w:sz w:val="24"/>
          <w:szCs w:val="24"/>
          <w:lang w:val="en-US"/>
        </w:rPr>
        <w:t xml:space="preserve"> </w:t>
      </w:r>
      <w:r w:rsidRPr="0019106A">
        <w:rPr>
          <w:rFonts w:eastAsia="ArialMT"/>
          <w:sz w:val="24"/>
          <w:szCs w:val="24"/>
          <w:lang w:val="en-US"/>
        </w:rPr>
        <w:t>The</w:t>
      </w:r>
      <w:proofErr w:type="gramEnd"/>
      <w:r w:rsidRPr="0019106A">
        <w:rPr>
          <w:rFonts w:eastAsia="ArialMT"/>
          <w:sz w:val="24"/>
          <w:szCs w:val="24"/>
          <w:lang w:val="en-US"/>
        </w:rPr>
        <w:t xml:space="preserve"> University of Queensland, School o</w:t>
      </w:r>
      <w:r>
        <w:rPr>
          <w:rFonts w:eastAsia="ArialMT"/>
          <w:sz w:val="24"/>
          <w:szCs w:val="24"/>
          <w:lang w:val="en-US"/>
        </w:rPr>
        <w:t xml:space="preserve">f Public Health, Brisbane, </w:t>
      </w:r>
      <w:r w:rsidRPr="0019106A">
        <w:rPr>
          <w:rFonts w:eastAsia="ArialMT"/>
          <w:sz w:val="24"/>
          <w:szCs w:val="24"/>
          <w:lang w:val="en-US"/>
        </w:rPr>
        <w:t>Australia</w:t>
      </w:r>
    </w:p>
    <w:p w:rsidR="007134A8" w:rsidRDefault="007134A8" w:rsidP="007134A8">
      <w:pPr>
        <w:spacing w:after="0" w:line="240" w:lineRule="auto"/>
        <w:rPr>
          <w:rFonts w:eastAsia="ArialMT"/>
          <w:sz w:val="24"/>
          <w:szCs w:val="24"/>
          <w:lang w:val="en-US"/>
        </w:rPr>
      </w:pPr>
      <w:proofErr w:type="gramStart"/>
      <w:r w:rsidRPr="0019106A">
        <w:rPr>
          <w:rFonts w:eastAsia="ArialMT"/>
          <w:sz w:val="24"/>
          <w:szCs w:val="24"/>
          <w:vertAlign w:val="superscript"/>
          <w:lang w:val="en-US"/>
        </w:rPr>
        <w:t>5</w:t>
      </w:r>
      <w:r w:rsidRPr="0019106A">
        <w:rPr>
          <w:rFonts w:eastAsia="ArialMT"/>
          <w:sz w:val="24"/>
          <w:szCs w:val="24"/>
          <w:lang w:val="en-US"/>
        </w:rPr>
        <w:t xml:space="preserve">  Department</w:t>
      </w:r>
      <w:proofErr w:type="gramEnd"/>
      <w:r w:rsidRPr="0019106A">
        <w:rPr>
          <w:rFonts w:eastAsia="ArialMT"/>
          <w:sz w:val="24"/>
          <w:szCs w:val="24"/>
          <w:lang w:val="en-US"/>
        </w:rPr>
        <w:t xml:space="preserve"> of Medicine, Mo</w:t>
      </w:r>
      <w:r>
        <w:rPr>
          <w:rFonts w:eastAsia="ArialMT"/>
          <w:sz w:val="24"/>
          <w:szCs w:val="24"/>
          <w:lang w:val="en-US"/>
        </w:rPr>
        <w:t>nash University, Melbourne, Australia</w:t>
      </w:r>
    </w:p>
    <w:p w:rsidR="007134A8" w:rsidRDefault="007134A8" w:rsidP="007134A8">
      <w:pPr>
        <w:spacing w:after="0" w:line="240" w:lineRule="auto"/>
        <w:rPr>
          <w:rFonts w:eastAsia="ArialMT"/>
          <w:sz w:val="24"/>
          <w:szCs w:val="24"/>
          <w:lang w:val="en-US"/>
        </w:rPr>
      </w:pPr>
      <w:r w:rsidRPr="0019106A">
        <w:rPr>
          <w:rFonts w:eastAsia="ArialMT"/>
          <w:sz w:val="24"/>
          <w:szCs w:val="24"/>
          <w:vertAlign w:val="superscript"/>
          <w:lang w:val="en-US"/>
        </w:rPr>
        <w:t>6</w:t>
      </w:r>
      <w:r>
        <w:rPr>
          <w:rFonts w:eastAsia="ArialMT"/>
          <w:sz w:val="24"/>
          <w:szCs w:val="24"/>
          <w:lang w:val="en-US"/>
        </w:rPr>
        <w:t xml:space="preserve">   </w:t>
      </w:r>
      <w:r w:rsidRPr="0019106A">
        <w:rPr>
          <w:rFonts w:eastAsia="ArialMT"/>
          <w:sz w:val="24"/>
          <w:szCs w:val="24"/>
          <w:lang w:val="en-US"/>
        </w:rPr>
        <w:t>Swinburne</w:t>
      </w:r>
      <w:r>
        <w:rPr>
          <w:rFonts w:eastAsia="ArialMT"/>
          <w:sz w:val="24"/>
          <w:szCs w:val="24"/>
          <w:lang w:val="en-US"/>
        </w:rPr>
        <w:t xml:space="preserve"> </w:t>
      </w:r>
      <w:r w:rsidRPr="0019106A">
        <w:rPr>
          <w:rFonts w:eastAsia="ArialMT"/>
          <w:sz w:val="24"/>
          <w:szCs w:val="24"/>
          <w:lang w:val="en-US"/>
        </w:rPr>
        <w:t xml:space="preserve">University of Technology, </w:t>
      </w:r>
      <w:proofErr w:type="gramStart"/>
      <w:r w:rsidRPr="0019106A">
        <w:rPr>
          <w:rFonts w:eastAsia="ArialMT"/>
          <w:sz w:val="24"/>
          <w:szCs w:val="24"/>
          <w:lang w:val="en-US"/>
        </w:rPr>
        <w:t>Melbourne,</w:t>
      </w:r>
      <w:r>
        <w:rPr>
          <w:rFonts w:eastAsia="ArialMT"/>
          <w:sz w:val="24"/>
          <w:szCs w:val="24"/>
          <w:lang w:val="en-US"/>
        </w:rPr>
        <w:t xml:space="preserve">  Australia</w:t>
      </w:r>
      <w:proofErr w:type="gramEnd"/>
    </w:p>
    <w:p w:rsidR="007134A8" w:rsidRDefault="007134A8" w:rsidP="007134A8">
      <w:pPr>
        <w:spacing w:after="0" w:line="240" w:lineRule="auto"/>
        <w:rPr>
          <w:rFonts w:eastAsia="ArialMT"/>
          <w:sz w:val="24"/>
          <w:szCs w:val="24"/>
          <w:lang w:val="en-US"/>
        </w:rPr>
      </w:pPr>
      <w:r w:rsidRPr="00003FD1">
        <w:rPr>
          <w:rFonts w:eastAsia="ArialMT"/>
          <w:sz w:val="24"/>
          <w:szCs w:val="24"/>
          <w:vertAlign w:val="superscript"/>
          <w:lang w:val="en-US"/>
        </w:rPr>
        <w:t>7</w:t>
      </w:r>
      <w:r>
        <w:rPr>
          <w:rFonts w:eastAsia="ArialMT"/>
          <w:sz w:val="24"/>
          <w:szCs w:val="24"/>
          <w:vertAlign w:val="superscript"/>
          <w:lang w:val="en-US"/>
        </w:rPr>
        <w:t xml:space="preserve">   </w:t>
      </w:r>
      <w:r w:rsidRPr="00061F39">
        <w:rPr>
          <w:rFonts w:eastAsia="ArialMT"/>
          <w:sz w:val="24"/>
          <w:szCs w:val="24"/>
          <w:lang w:val="en-US"/>
        </w:rPr>
        <w:t>Colorectal Oncogenomics Group, Genetic Epidemiology</w:t>
      </w:r>
      <w:r>
        <w:rPr>
          <w:rFonts w:eastAsia="ArialMT"/>
          <w:sz w:val="24"/>
          <w:szCs w:val="24"/>
          <w:lang w:val="en-US"/>
        </w:rPr>
        <w:t xml:space="preserve"> Laboratory, Department </w:t>
      </w:r>
      <w:proofErr w:type="gramStart"/>
      <w:r>
        <w:rPr>
          <w:rFonts w:eastAsia="ArialMT"/>
          <w:sz w:val="24"/>
          <w:szCs w:val="24"/>
          <w:lang w:val="en-US"/>
        </w:rPr>
        <w:t>of  Pathology</w:t>
      </w:r>
      <w:proofErr w:type="gramEnd"/>
      <w:r>
        <w:rPr>
          <w:rFonts w:eastAsia="ArialMT"/>
          <w:sz w:val="24"/>
          <w:szCs w:val="24"/>
          <w:lang w:val="en-US"/>
        </w:rPr>
        <w:t>, The University of Melbourne, Victoria, Australia</w:t>
      </w:r>
    </w:p>
    <w:p w:rsidR="007134A8" w:rsidRDefault="007134A8" w:rsidP="007134A8">
      <w:pPr>
        <w:spacing w:after="0" w:line="240" w:lineRule="auto"/>
        <w:rPr>
          <w:rFonts w:eastAsia="ArialMT"/>
          <w:sz w:val="24"/>
          <w:szCs w:val="24"/>
          <w:lang w:val="en-US"/>
        </w:rPr>
      </w:pPr>
      <w:r w:rsidRPr="00061F39">
        <w:rPr>
          <w:rFonts w:eastAsia="ArialMT"/>
          <w:sz w:val="24"/>
          <w:szCs w:val="24"/>
          <w:vertAlign w:val="superscript"/>
          <w:lang w:val="en-US"/>
        </w:rPr>
        <w:t>8</w:t>
      </w:r>
      <w:r>
        <w:rPr>
          <w:rFonts w:eastAsia="ArialMT"/>
          <w:sz w:val="24"/>
          <w:szCs w:val="24"/>
          <w:vertAlign w:val="superscript"/>
          <w:lang w:val="en-US"/>
        </w:rPr>
        <w:t xml:space="preserve">   </w:t>
      </w:r>
      <w:r>
        <w:rPr>
          <w:rFonts w:eastAsia="ArialMT"/>
          <w:sz w:val="24"/>
          <w:szCs w:val="24"/>
          <w:lang w:val="en-US"/>
        </w:rPr>
        <w:t>Centre for Alcohol Policy Research, La Trobe University, Melbourne, Victoria, Australia</w:t>
      </w:r>
    </w:p>
    <w:p w:rsidR="007134A8" w:rsidRPr="00A541C2" w:rsidRDefault="007134A8" w:rsidP="007134A8">
      <w:pPr>
        <w:spacing w:after="0" w:line="240" w:lineRule="auto"/>
        <w:rPr>
          <w:rFonts w:eastAsia="ArialMT"/>
          <w:sz w:val="24"/>
          <w:szCs w:val="24"/>
          <w:lang w:val="en-US"/>
        </w:rPr>
      </w:pPr>
      <w:proofErr w:type="gramStart"/>
      <w:r w:rsidRPr="00A541C2">
        <w:rPr>
          <w:rFonts w:eastAsia="ArialMT"/>
          <w:sz w:val="24"/>
          <w:szCs w:val="24"/>
          <w:vertAlign w:val="superscript"/>
          <w:lang w:val="en-US"/>
        </w:rPr>
        <w:t>9</w:t>
      </w:r>
      <w:r>
        <w:rPr>
          <w:rFonts w:eastAsia="ArialMT"/>
          <w:sz w:val="24"/>
          <w:szCs w:val="24"/>
          <w:vertAlign w:val="superscript"/>
          <w:lang w:val="en-US"/>
        </w:rPr>
        <w:t xml:space="preserve">  </w:t>
      </w:r>
      <w:r>
        <w:rPr>
          <w:rFonts w:eastAsia="ArialMT"/>
          <w:sz w:val="24"/>
          <w:szCs w:val="24"/>
          <w:lang w:val="en-US"/>
        </w:rPr>
        <w:t>Department</w:t>
      </w:r>
      <w:proofErr w:type="gramEnd"/>
      <w:r>
        <w:rPr>
          <w:rFonts w:eastAsia="ArialMT"/>
          <w:sz w:val="24"/>
          <w:szCs w:val="24"/>
          <w:lang w:val="en-US"/>
        </w:rPr>
        <w:t xml:space="preserve"> of Medical Oncology, Alfred Hospital, 55 Commercial Road Melbourne, Victoria, Australia</w:t>
      </w:r>
    </w:p>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 w:rsidR="007134A8" w:rsidRDefault="007134A8" w:rsidP="007134A8">
      <w:pPr>
        <w:spacing w:after="0" w:line="480" w:lineRule="auto"/>
        <w:rPr>
          <w:rFonts w:eastAsia="ArialMT"/>
          <w:b/>
          <w:sz w:val="28"/>
          <w:szCs w:val="28"/>
          <w:lang w:val="en-US"/>
        </w:rPr>
      </w:pPr>
      <w:r>
        <w:rPr>
          <w:rFonts w:eastAsia="ArialMT"/>
          <w:b/>
          <w:sz w:val="28"/>
          <w:szCs w:val="28"/>
          <w:lang w:val="en-US"/>
        </w:rPr>
        <w:lastRenderedPageBreak/>
        <w:t>Background</w:t>
      </w:r>
    </w:p>
    <w:p w:rsidR="007134A8" w:rsidRPr="00A73E8B" w:rsidRDefault="007134A8" w:rsidP="007134A8">
      <w:pPr>
        <w:spacing w:after="0" w:line="480" w:lineRule="auto"/>
        <w:rPr>
          <w:rFonts w:eastAsia="ArialMT"/>
          <w:sz w:val="24"/>
          <w:szCs w:val="24"/>
          <w:lang w:val="en-US"/>
        </w:rPr>
      </w:pPr>
      <w:r>
        <w:rPr>
          <w:rFonts w:eastAsia="ArialMT"/>
          <w:sz w:val="24"/>
          <w:szCs w:val="24"/>
          <w:lang w:val="en-US"/>
        </w:rPr>
        <w:t>Studies have shown that r</w:t>
      </w:r>
      <w:r>
        <w:rPr>
          <w:sz w:val="24"/>
          <w:szCs w:val="24"/>
        </w:rPr>
        <w:t>ecreational physical activity undertaken before or after colorectal cancer(CRC) diagnosis is associated with reduced mortality among CRC survivors. The survival benefits associated with physical activity in other settings(domains), such as transport and household, remain uncertain.</w:t>
      </w:r>
      <w:r w:rsidRPr="0079688A">
        <w:rPr>
          <w:sz w:val="24"/>
          <w:szCs w:val="24"/>
        </w:rPr>
        <w:t xml:space="preserve"> </w:t>
      </w:r>
      <w:r>
        <w:rPr>
          <w:sz w:val="24"/>
          <w:szCs w:val="24"/>
        </w:rPr>
        <w:t>In older adults (who are at greatest risk of CRC)</w:t>
      </w:r>
      <w:r>
        <w:t xml:space="preserve">, </w:t>
      </w:r>
      <w:r>
        <w:rPr>
          <w:sz w:val="24"/>
          <w:szCs w:val="24"/>
        </w:rPr>
        <w:t>overall physical activity often declines, particularly in the recreation and occupation settings and they accrue most of their moderate-intensity physical activity through walking (transport) and household activity.</w:t>
      </w:r>
      <w:r>
        <w:rPr>
          <w:rFonts w:eastAsia="ArialMT"/>
          <w:sz w:val="24"/>
          <w:szCs w:val="24"/>
          <w:lang w:val="en-US"/>
        </w:rPr>
        <w:t xml:space="preserve"> Similarly, evidence is inconclusive for relationship of sedentary behaviour and CRC survival. This study examines the</w:t>
      </w:r>
      <w:r>
        <w:rPr>
          <w:sz w:val="24"/>
          <w:szCs w:val="24"/>
        </w:rPr>
        <w:t xml:space="preserve"> associations of pre-and postdiagnosis domain-specific physical activity and television viewing time with relative risk of excess death in colorectal cancer survivors. </w:t>
      </w:r>
    </w:p>
    <w:p w:rsidR="007134A8" w:rsidRDefault="007134A8" w:rsidP="007134A8">
      <w:pPr>
        <w:spacing w:after="0" w:line="480" w:lineRule="auto"/>
        <w:rPr>
          <w:rFonts w:eastAsia="ArialMT"/>
          <w:b/>
          <w:sz w:val="28"/>
          <w:szCs w:val="28"/>
          <w:lang w:val="en-US"/>
        </w:rPr>
      </w:pPr>
      <w:r>
        <w:rPr>
          <w:rFonts w:eastAsia="ArialMT"/>
          <w:b/>
          <w:sz w:val="28"/>
          <w:szCs w:val="28"/>
          <w:lang w:val="en-US"/>
        </w:rPr>
        <w:t>Methods</w:t>
      </w:r>
    </w:p>
    <w:p w:rsidR="007134A8" w:rsidRPr="0043229C" w:rsidRDefault="007134A8" w:rsidP="007134A8">
      <w:pPr>
        <w:spacing w:after="0" w:line="480" w:lineRule="auto"/>
        <w:rPr>
          <w:rFonts w:eastAsia="ArialMT"/>
          <w:sz w:val="24"/>
          <w:szCs w:val="24"/>
          <w:lang w:val="en-US"/>
        </w:rPr>
      </w:pPr>
      <w:r>
        <w:rPr>
          <w:rFonts w:eastAsia="ArialMT"/>
          <w:sz w:val="24"/>
          <w:szCs w:val="24"/>
          <w:lang w:val="en-US"/>
        </w:rPr>
        <w:t xml:space="preserve">We followed 569 (activity assessed pre-diagnosis) and 426 (activity assessed post-diagnosis) colorectal cancer (CRC) survivors in the Melbourne Collaborative Cohort Study. Physical activity in recreation, transport and household domains, plus television viewing time, were self-reported at Wave 2. Poisson regression within the framework of a generalized linear model was used to estimate excess mortality rate ratios (EMRR) and 95% confidence intervals (CIs). </w:t>
      </w:r>
    </w:p>
    <w:p w:rsidR="007134A8" w:rsidRDefault="007134A8" w:rsidP="007134A8">
      <w:pPr>
        <w:spacing w:after="0" w:line="480" w:lineRule="auto"/>
        <w:rPr>
          <w:rFonts w:eastAsia="ArialMT"/>
          <w:b/>
          <w:sz w:val="28"/>
          <w:szCs w:val="28"/>
          <w:lang w:val="en-US"/>
        </w:rPr>
      </w:pPr>
      <w:r w:rsidRPr="00F270B6">
        <w:rPr>
          <w:rFonts w:eastAsia="ArialMT"/>
          <w:b/>
          <w:sz w:val="28"/>
          <w:szCs w:val="28"/>
          <w:lang w:val="en-US"/>
        </w:rPr>
        <w:t>Results</w:t>
      </w:r>
    </w:p>
    <w:p w:rsidR="007134A8" w:rsidRDefault="007134A8" w:rsidP="007134A8">
      <w:pPr>
        <w:spacing w:after="0" w:line="480" w:lineRule="auto"/>
        <w:rPr>
          <w:rFonts w:eastAsia="ArialMT"/>
          <w:sz w:val="24"/>
          <w:szCs w:val="24"/>
          <w:lang w:val="en-US"/>
        </w:rPr>
      </w:pPr>
      <w:r w:rsidRPr="006C2D4B">
        <w:rPr>
          <w:rFonts w:eastAsia="ArialMT"/>
          <w:sz w:val="24"/>
          <w:szCs w:val="24"/>
          <w:lang w:val="en-US"/>
        </w:rPr>
        <w:t>A total of 208 and 153 deaths were observed among CRC survivors in pre</w:t>
      </w:r>
      <w:r>
        <w:rPr>
          <w:rFonts w:eastAsia="ArialMT"/>
          <w:sz w:val="24"/>
          <w:szCs w:val="24"/>
          <w:lang w:val="en-US"/>
        </w:rPr>
        <w:t>-</w:t>
      </w:r>
      <w:r w:rsidRPr="006C2D4B">
        <w:rPr>
          <w:rFonts w:eastAsia="ArialMT"/>
          <w:sz w:val="24"/>
          <w:szCs w:val="24"/>
          <w:lang w:val="en-US"/>
        </w:rPr>
        <w:t xml:space="preserve"> and </w:t>
      </w:r>
      <w:r>
        <w:rPr>
          <w:rFonts w:eastAsia="ArialMT"/>
          <w:sz w:val="24"/>
          <w:szCs w:val="24"/>
          <w:lang w:val="en-US"/>
        </w:rPr>
        <w:t>post-diagnosis</w:t>
      </w:r>
      <w:r w:rsidRPr="006C2D4B">
        <w:rPr>
          <w:rFonts w:eastAsia="ArialMT"/>
          <w:sz w:val="24"/>
          <w:szCs w:val="24"/>
          <w:lang w:val="en-US"/>
        </w:rPr>
        <w:t xml:space="preserve"> samples</w:t>
      </w:r>
      <w:r>
        <w:rPr>
          <w:rFonts w:eastAsia="ArialMT"/>
          <w:sz w:val="24"/>
          <w:szCs w:val="24"/>
          <w:lang w:val="en-US"/>
        </w:rPr>
        <w:t>,</w:t>
      </w:r>
      <w:r w:rsidRPr="006C2D4B">
        <w:rPr>
          <w:rFonts w:eastAsia="ArialMT"/>
          <w:sz w:val="24"/>
          <w:szCs w:val="24"/>
          <w:lang w:val="en-US"/>
        </w:rPr>
        <w:t xml:space="preserve"> respectively. </w:t>
      </w:r>
      <w:r>
        <w:rPr>
          <w:rFonts w:eastAsia="ArialMT"/>
          <w:sz w:val="24"/>
          <w:szCs w:val="24"/>
          <w:lang w:val="en-US"/>
        </w:rPr>
        <w:t xml:space="preserve">The adjusted </w:t>
      </w:r>
      <w:r w:rsidRPr="005F02BA">
        <w:rPr>
          <w:rFonts w:eastAsia="ArialMT"/>
          <w:sz w:val="24"/>
          <w:szCs w:val="24"/>
          <w:lang w:val="en-US"/>
        </w:rPr>
        <w:t xml:space="preserve">EMRRs for the highest versus the lowest categories of </w:t>
      </w:r>
      <w:r>
        <w:rPr>
          <w:rFonts w:eastAsia="ArialMT"/>
          <w:sz w:val="24"/>
          <w:szCs w:val="24"/>
          <w:lang w:val="en-US"/>
        </w:rPr>
        <w:t>p</w:t>
      </w:r>
      <w:r w:rsidRPr="005F02BA">
        <w:rPr>
          <w:rFonts w:eastAsia="ArialMT"/>
          <w:sz w:val="24"/>
          <w:szCs w:val="24"/>
          <w:lang w:val="en-US"/>
        </w:rPr>
        <w:t>re</w:t>
      </w:r>
      <w:r>
        <w:rPr>
          <w:rFonts w:eastAsia="ArialMT"/>
          <w:sz w:val="24"/>
          <w:szCs w:val="24"/>
          <w:lang w:val="en-US"/>
        </w:rPr>
        <w:t>-</w:t>
      </w:r>
      <w:r w:rsidRPr="005F02BA">
        <w:rPr>
          <w:rFonts w:eastAsia="ArialMT"/>
          <w:sz w:val="24"/>
          <w:szCs w:val="24"/>
          <w:lang w:val="en-US"/>
        </w:rPr>
        <w:t xml:space="preserve">diagnosis physical activity </w:t>
      </w:r>
      <w:r>
        <w:rPr>
          <w:rFonts w:eastAsia="ArialMT"/>
          <w:sz w:val="24"/>
          <w:szCs w:val="24"/>
          <w:lang w:val="en-US"/>
        </w:rPr>
        <w:t>were 0.83</w:t>
      </w:r>
      <w:r w:rsidRPr="005F02BA">
        <w:rPr>
          <w:rFonts w:eastAsia="ArialMT"/>
          <w:sz w:val="24"/>
          <w:szCs w:val="24"/>
          <w:lang w:val="en-US"/>
        </w:rPr>
        <w:t xml:space="preserve"> (95% CI: 0.</w:t>
      </w:r>
      <w:r>
        <w:rPr>
          <w:rFonts w:eastAsia="ArialMT"/>
          <w:sz w:val="24"/>
          <w:szCs w:val="24"/>
          <w:lang w:val="en-US"/>
        </w:rPr>
        <w:t>42-1.64; p trend = 0.61</w:t>
      </w:r>
      <w:r w:rsidRPr="005F02BA">
        <w:rPr>
          <w:rFonts w:eastAsia="ArialMT"/>
          <w:sz w:val="24"/>
          <w:szCs w:val="24"/>
          <w:lang w:val="en-US"/>
        </w:rPr>
        <w:t>) for recreational activity;</w:t>
      </w:r>
      <w:r>
        <w:rPr>
          <w:rFonts w:eastAsia="ArialMT"/>
          <w:sz w:val="24"/>
          <w:szCs w:val="24"/>
          <w:lang w:val="en-US"/>
        </w:rPr>
        <w:t xml:space="preserve"> 0.57 (95% CI: 0.31-1.07; p trend = 0.09) for transport activity;</w:t>
      </w:r>
      <w:r w:rsidRPr="005F02BA">
        <w:rPr>
          <w:rFonts w:eastAsia="ArialMT"/>
          <w:sz w:val="24"/>
          <w:szCs w:val="24"/>
          <w:lang w:val="en-US"/>
        </w:rPr>
        <w:t xml:space="preserve"> and </w:t>
      </w:r>
      <w:r>
        <w:rPr>
          <w:rFonts w:eastAsia="ArialMT"/>
          <w:sz w:val="24"/>
          <w:szCs w:val="24"/>
          <w:lang w:val="en-US"/>
        </w:rPr>
        <w:t>0.80</w:t>
      </w:r>
      <w:r w:rsidRPr="005F02BA">
        <w:rPr>
          <w:rFonts w:eastAsia="ArialMT"/>
          <w:sz w:val="24"/>
          <w:szCs w:val="24"/>
          <w:lang w:val="en-US"/>
        </w:rPr>
        <w:t xml:space="preserve"> </w:t>
      </w:r>
      <w:r w:rsidRPr="005F02BA">
        <w:rPr>
          <w:rFonts w:eastAsia="ArialMT"/>
          <w:sz w:val="24"/>
          <w:szCs w:val="24"/>
          <w:lang w:val="en-US"/>
        </w:rPr>
        <w:lastRenderedPageBreak/>
        <w:t>(95% CI</w:t>
      </w:r>
      <w:r>
        <w:rPr>
          <w:rFonts w:eastAsia="ArialMT"/>
          <w:sz w:val="24"/>
          <w:szCs w:val="24"/>
          <w:lang w:val="en-US"/>
        </w:rPr>
        <w:t>:</w:t>
      </w:r>
      <w:r w:rsidRPr="005F02BA">
        <w:rPr>
          <w:rFonts w:eastAsia="ArialMT"/>
          <w:sz w:val="24"/>
          <w:szCs w:val="24"/>
          <w:lang w:val="en-US"/>
        </w:rPr>
        <w:t xml:space="preserve"> 0.</w:t>
      </w:r>
      <w:r>
        <w:rPr>
          <w:rFonts w:eastAsia="ArialMT"/>
          <w:sz w:val="24"/>
          <w:szCs w:val="24"/>
          <w:lang w:val="en-US"/>
        </w:rPr>
        <w:t>46-1.39</w:t>
      </w:r>
      <w:r w:rsidRPr="005F02BA">
        <w:rPr>
          <w:rFonts w:eastAsia="ArialMT"/>
          <w:sz w:val="24"/>
          <w:szCs w:val="24"/>
          <w:lang w:val="en-US"/>
        </w:rPr>
        <w:t>; p</w:t>
      </w:r>
      <w:r>
        <w:rPr>
          <w:rFonts w:eastAsia="ArialMT"/>
          <w:sz w:val="24"/>
          <w:szCs w:val="24"/>
          <w:lang w:val="en-US"/>
        </w:rPr>
        <w:t xml:space="preserve"> </w:t>
      </w:r>
      <w:r w:rsidRPr="005F02BA">
        <w:rPr>
          <w:rFonts w:eastAsia="ArialMT"/>
          <w:sz w:val="24"/>
          <w:szCs w:val="24"/>
          <w:lang w:val="en-US"/>
        </w:rPr>
        <w:t>trend = 0.</w:t>
      </w:r>
      <w:r>
        <w:rPr>
          <w:rFonts w:eastAsia="ArialMT"/>
          <w:sz w:val="24"/>
          <w:szCs w:val="24"/>
          <w:lang w:val="en-US"/>
        </w:rPr>
        <w:t>11</w:t>
      </w:r>
      <w:r w:rsidRPr="005F02BA">
        <w:rPr>
          <w:rFonts w:eastAsia="ArialMT"/>
          <w:sz w:val="24"/>
          <w:szCs w:val="24"/>
          <w:lang w:val="en-US"/>
        </w:rPr>
        <w:t xml:space="preserve">) for household activity. </w:t>
      </w:r>
      <w:r>
        <w:rPr>
          <w:rFonts w:eastAsia="ArialMT"/>
          <w:sz w:val="24"/>
          <w:szCs w:val="24"/>
          <w:lang w:val="en-US"/>
        </w:rPr>
        <w:t>W</w:t>
      </w:r>
      <w:r w:rsidRPr="005F02BA">
        <w:rPr>
          <w:rFonts w:eastAsia="ArialMT"/>
          <w:sz w:val="24"/>
          <w:szCs w:val="24"/>
          <w:lang w:val="en-US"/>
        </w:rPr>
        <w:t xml:space="preserve">atching TV </w:t>
      </w:r>
      <w:r>
        <w:rPr>
          <w:rFonts w:eastAsia="ArialMT"/>
          <w:sz w:val="24"/>
          <w:szCs w:val="24"/>
          <w:lang w:val="en-US"/>
        </w:rPr>
        <w:t>for ≥4 versus &lt;</w:t>
      </w:r>
      <w:r w:rsidRPr="005F02BA">
        <w:rPr>
          <w:rFonts w:eastAsia="ArialMT"/>
          <w:sz w:val="24"/>
          <w:szCs w:val="24"/>
          <w:lang w:val="en-US"/>
        </w:rPr>
        <w:t>2 hours/day before CRC diagnosis</w:t>
      </w:r>
      <w:r>
        <w:rPr>
          <w:rFonts w:eastAsia="ArialMT"/>
          <w:sz w:val="24"/>
          <w:szCs w:val="24"/>
          <w:lang w:val="en-US"/>
        </w:rPr>
        <w:t xml:space="preserve"> was associated with 25% higher excess mortality in these survivors (95% CI: 0.67-2.32; p trend = 0.26). </w:t>
      </w:r>
    </w:p>
    <w:p w:rsidR="007134A8" w:rsidRPr="005F02BA" w:rsidRDefault="007134A8" w:rsidP="007134A8">
      <w:pPr>
        <w:spacing w:after="0" w:line="480" w:lineRule="auto"/>
        <w:rPr>
          <w:rFonts w:eastAsia="ArialMT"/>
          <w:sz w:val="24"/>
          <w:szCs w:val="24"/>
          <w:lang w:val="en-US"/>
        </w:rPr>
      </w:pPr>
      <w:r w:rsidRPr="005F02BA">
        <w:rPr>
          <w:rFonts w:eastAsia="ArialMT"/>
          <w:sz w:val="24"/>
          <w:szCs w:val="24"/>
          <w:lang w:val="en-US"/>
        </w:rPr>
        <w:t>The adjusted EMRRs for post</w:t>
      </w:r>
      <w:r>
        <w:rPr>
          <w:rFonts w:eastAsia="ArialMT"/>
          <w:sz w:val="24"/>
          <w:szCs w:val="24"/>
          <w:lang w:val="en-US"/>
        </w:rPr>
        <w:t>-</w:t>
      </w:r>
      <w:r w:rsidRPr="005F02BA">
        <w:rPr>
          <w:rFonts w:eastAsia="ArialMT"/>
          <w:sz w:val="24"/>
          <w:szCs w:val="24"/>
          <w:lang w:val="en-US"/>
        </w:rPr>
        <w:t>diagnosis</w:t>
      </w:r>
      <w:r>
        <w:rPr>
          <w:rFonts w:eastAsia="ArialMT"/>
          <w:sz w:val="24"/>
          <w:szCs w:val="24"/>
          <w:lang w:val="en-US"/>
        </w:rPr>
        <w:t xml:space="preserve"> physical activity were 0.67</w:t>
      </w:r>
      <w:r w:rsidRPr="005F02BA">
        <w:rPr>
          <w:rFonts w:eastAsia="ArialMT"/>
          <w:sz w:val="24"/>
          <w:szCs w:val="24"/>
          <w:lang w:val="en-US"/>
        </w:rPr>
        <w:t xml:space="preserve"> (95% CI: 0.</w:t>
      </w:r>
      <w:r>
        <w:rPr>
          <w:rFonts w:eastAsia="ArialMT"/>
          <w:sz w:val="24"/>
          <w:szCs w:val="24"/>
          <w:lang w:val="en-US"/>
        </w:rPr>
        <w:t>22-2.01; p trend = 0.82) for</w:t>
      </w:r>
      <w:r w:rsidRPr="005F02BA">
        <w:rPr>
          <w:rFonts w:eastAsia="ArialMT"/>
          <w:sz w:val="24"/>
          <w:szCs w:val="24"/>
          <w:lang w:val="en-US"/>
        </w:rPr>
        <w:t xml:space="preserve"> recreation</w:t>
      </w:r>
      <w:r>
        <w:rPr>
          <w:rFonts w:eastAsia="ArialMT"/>
          <w:sz w:val="24"/>
          <w:szCs w:val="24"/>
          <w:lang w:val="en-US"/>
        </w:rPr>
        <w:t>; 0.57 (95% CI: 0.31-1.07; p trend = 0.86</w:t>
      </w:r>
      <w:r w:rsidRPr="005F02BA">
        <w:rPr>
          <w:rFonts w:eastAsia="ArialMT"/>
          <w:sz w:val="24"/>
          <w:szCs w:val="24"/>
          <w:lang w:val="en-US"/>
        </w:rPr>
        <w:t xml:space="preserve">) for </w:t>
      </w:r>
      <w:r>
        <w:rPr>
          <w:rFonts w:eastAsia="ArialMT"/>
          <w:sz w:val="24"/>
          <w:szCs w:val="24"/>
          <w:lang w:val="en-US"/>
        </w:rPr>
        <w:t xml:space="preserve">transport </w:t>
      </w:r>
      <w:r w:rsidRPr="005F02BA">
        <w:rPr>
          <w:rFonts w:eastAsia="ArialMT"/>
          <w:sz w:val="24"/>
          <w:szCs w:val="24"/>
          <w:lang w:val="en-US"/>
        </w:rPr>
        <w:t xml:space="preserve">and </w:t>
      </w:r>
      <w:r>
        <w:rPr>
          <w:rFonts w:eastAsia="ArialMT"/>
          <w:sz w:val="24"/>
          <w:szCs w:val="24"/>
          <w:lang w:val="en-US"/>
        </w:rPr>
        <w:t>0.32 (95% CI, 0.13</w:t>
      </w:r>
      <w:r w:rsidRPr="005F02BA">
        <w:rPr>
          <w:rFonts w:eastAsia="ArialMT"/>
          <w:sz w:val="24"/>
          <w:szCs w:val="24"/>
          <w:lang w:val="en-US"/>
        </w:rPr>
        <w:t>-</w:t>
      </w:r>
      <w:r>
        <w:rPr>
          <w:rFonts w:eastAsia="ArialMT"/>
          <w:sz w:val="24"/>
          <w:szCs w:val="24"/>
          <w:lang w:val="en-US"/>
        </w:rPr>
        <w:t>0.81; p trend = 0.04</w:t>
      </w:r>
      <w:r w:rsidRPr="005F02BA">
        <w:rPr>
          <w:rFonts w:eastAsia="ArialMT"/>
          <w:sz w:val="24"/>
          <w:szCs w:val="24"/>
          <w:lang w:val="en-US"/>
        </w:rPr>
        <w:t xml:space="preserve">) for </w:t>
      </w:r>
      <w:r>
        <w:rPr>
          <w:rFonts w:eastAsia="ArialMT"/>
          <w:sz w:val="24"/>
          <w:szCs w:val="24"/>
          <w:lang w:val="en-US"/>
        </w:rPr>
        <w:t xml:space="preserve">the </w:t>
      </w:r>
      <w:r w:rsidRPr="005F02BA">
        <w:rPr>
          <w:rFonts w:eastAsia="ArialMT"/>
          <w:sz w:val="24"/>
          <w:szCs w:val="24"/>
          <w:lang w:val="en-US"/>
        </w:rPr>
        <w:t xml:space="preserve">household </w:t>
      </w:r>
      <w:r>
        <w:rPr>
          <w:rFonts w:eastAsia="ArialMT"/>
          <w:sz w:val="24"/>
          <w:szCs w:val="24"/>
          <w:lang w:val="en-US"/>
        </w:rPr>
        <w:t>domain</w:t>
      </w:r>
      <w:r w:rsidRPr="005F02BA">
        <w:rPr>
          <w:rFonts w:eastAsia="ArialMT"/>
          <w:sz w:val="24"/>
          <w:szCs w:val="24"/>
          <w:lang w:val="en-US"/>
        </w:rPr>
        <w:t xml:space="preserve">. </w:t>
      </w:r>
      <w:r>
        <w:rPr>
          <w:rFonts w:eastAsia="ArialMT"/>
          <w:sz w:val="24"/>
          <w:szCs w:val="24"/>
          <w:lang w:val="en-US"/>
        </w:rPr>
        <w:t xml:space="preserve">We observed 38% higher excess mortality among CRC survivors </w:t>
      </w:r>
      <w:r w:rsidRPr="005F02BA">
        <w:rPr>
          <w:rFonts w:eastAsia="ArialMT"/>
          <w:sz w:val="24"/>
          <w:szCs w:val="24"/>
          <w:lang w:val="en-US"/>
        </w:rPr>
        <w:t xml:space="preserve">watching TV </w:t>
      </w:r>
      <w:r>
        <w:rPr>
          <w:rFonts w:eastAsia="ArialMT"/>
          <w:sz w:val="24"/>
          <w:szCs w:val="24"/>
          <w:lang w:val="en-US"/>
        </w:rPr>
        <w:t>≥</w:t>
      </w:r>
      <w:r w:rsidRPr="005F02BA">
        <w:rPr>
          <w:rFonts w:eastAsia="ArialMT"/>
          <w:sz w:val="24"/>
          <w:szCs w:val="24"/>
          <w:lang w:val="en-US"/>
        </w:rPr>
        <w:t xml:space="preserve">4 </w:t>
      </w:r>
      <w:r>
        <w:rPr>
          <w:rFonts w:eastAsia="ArialMT"/>
          <w:sz w:val="24"/>
          <w:szCs w:val="24"/>
          <w:lang w:val="en-US"/>
        </w:rPr>
        <w:t>versus</w:t>
      </w:r>
      <w:r w:rsidRPr="005F02BA">
        <w:rPr>
          <w:rFonts w:eastAsia="ArialMT"/>
          <w:sz w:val="24"/>
          <w:szCs w:val="24"/>
          <w:lang w:val="en-US"/>
        </w:rPr>
        <w:t xml:space="preserve"> &lt;2 hours/day</w:t>
      </w:r>
      <w:r>
        <w:rPr>
          <w:rFonts w:eastAsia="ArialMT"/>
          <w:sz w:val="24"/>
          <w:szCs w:val="24"/>
          <w:lang w:val="en-US"/>
        </w:rPr>
        <w:t xml:space="preserve"> after diagnosis (95% CI: 0.47-4.02; p trend = 0.41).</w:t>
      </w:r>
    </w:p>
    <w:p w:rsidR="007134A8" w:rsidRDefault="007134A8" w:rsidP="007134A8">
      <w:pPr>
        <w:spacing w:after="0" w:line="480" w:lineRule="auto"/>
        <w:rPr>
          <w:rFonts w:eastAsia="ArialMT"/>
          <w:b/>
          <w:sz w:val="28"/>
          <w:szCs w:val="28"/>
          <w:lang w:val="en-US"/>
        </w:rPr>
      </w:pPr>
      <w:r>
        <w:rPr>
          <w:rFonts w:eastAsia="ArialMT"/>
          <w:b/>
          <w:sz w:val="28"/>
          <w:szCs w:val="28"/>
          <w:lang w:val="en-US"/>
        </w:rPr>
        <w:t>Conclusions</w:t>
      </w:r>
    </w:p>
    <w:p w:rsidR="007134A8" w:rsidRDefault="007134A8" w:rsidP="007134A8">
      <w:pPr>
        <w:spacing w:after="0" w:line="480" w:lineRule="auto"/>
        <w:rPr>
          <w:rFonts w:eastAsia="ArialMT"/>
          <w:sz w:val="24"/>
          <w:szCs w:val="24"/>
          <w:lang w:val="en-US"/>
        </w:rPr>
      </w:pPr>
      <w:r>
        <w:rPr>
          <w:rFonts w:eastAsia="ArialMT"/>
          <w:sz w:val="24"/>
          <w:szCs w:val="24"/>
          <w:lang w:val="en-US"/>
        </w:rPr>
        <w:t xml:space="preserve">Higher levels of physical activity in recreation, transport and household before and after diagnosis improve survival among CRC patients. An active lifestyle during middle and older age may help those later diagnosed with cancer to physically withstand disease and treatment-related effects, and thus extend overall survival. </w:t>
      </w:r>
    </w:p>
    <w:p w:rsidR="00E015B2" w:rsidRPr="00744EA0" w:rsidRDefault="00E015B2" w:rsidP="007134A8">
      <w:pPr>
        <w:spacing w:after="0" w:line="480" w:lineRule="auto"/>
        <w:rPr>
          <w:rFonts w:eastAsia="ArialMT"/>
          <w:sz w:val="24"/>
          <w:szCs w:val="24"/>
          <w:lang w:val="en-US"/>
        </w:rPr>
      </w:pPr>
    </w:p>
    <w:p w:rsidR="007134A8" w:rsidRDefault="007134A8" w:rsidP="007134A8">
      <w:pPr>
        <w:spacing w:after="0" w:line="240" w:lineRule="auto"/>
        <w:rPr>
          <w:rFonts w:eastAsia="ArialMT"/>
          <w:sz w:val="24"/>
          <w:szCs w:val="24"/>
          <w:lang w:val="en-US"/>
        </w:rPr>
      </w:pPr>
      <w:r>
        <w:rPr>
          <w:rFonts w:eastAsia="ArialMT"/>
          <w:b/>
          <w:sz w:val="28"/>
          <w:szCs w:val="28"/>
          <w:lang w:val="en-US"/>
        </w:rPr>
        <w:t>Keywords:</w:t>
      </w:r>
      <w:r w:rsidRPr="007C4F35">
        <w:rPr>
          <w:rFonts w:eastAsia="ArialMT"/>
          <w:b/>
          <w:sz w:val="24"/>
          <w:szCs w:val="24"/>
          <w:lang w:val="en-US"/>
        </w:rPr>
        <w:t xml:space="preserve"> </w:t>
      </w:r>
      <w:r>
        <w:rPr>
          <w:rFonts w:eastAsia="ArialMT"/>
          <w:sz w:val="24"/>
          <w:szCs w:val="24"/>
          <w:lang w:val="en-US"/>
        </w:rPr>
        <w:t>Domain-specific physical activity, television, relative survival, excess mortality, colorectal cancer, prospective study</w:t>
      </w:r>
    </w:p>
    <w:p w:rsidR="007134A8" w:rsidRDefault="007134A8" w:rsidP="007134A8">
      <w:pPr>
        <w:spacing w:after="0" w:line="480" w:lineRule="auto"/>
        <w:rPr>
          <w:rFonts w:eastAsia="ArialMT"/>
          <w:b/>
          <w:sz w:val="28"/>
          <w:szCs w:val="28"/>
          <w:lang w:val="en-US"/>
        </w:rPr>
      </w:pPr>
    </w:p>
    <w:p w:rsidR="00A24C69" w:rsidRDefault="00A24C69">
      <w:bookmarkStart w:id="0" w:name="_GoBack"/>
      <w:bookmarkEnd w:id="0"/>
    </w:p>
    <w:sectPr w:rsidR="00A24C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MT">
    <w:altName w:val="Times New Roman"/>
    <w:charset w:val="00"/>
    <w:family w:val="auto"/>
    <w:pitch w:val="variable"/>
    <w:sig w:usb0="00000000"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A8"/>
    <w:rsid w:val="007134A8"/>
    <w:rsid w:val="008B0C16"/>
    <w:rsid w:val="00A24C69"/>
    <w:rsid w:val="00E01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CD820"/>
  <w15:chartTrackingRefBased/>
  <w15:docId w15:val="{BC28C255-E212-422E-855A-990F7BE1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134A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34A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Mahmood</dc:creator>
  <cp:keywords/>
  <dc:description/>
  <cp:lastModifiedBy>Shahid Mahmood</cp:lastModifiedBy>
  <cp:revision>3</cp:revision>
  <dcterms:created xsi:type="dcterms:W3CDTF">2017-11-13T07:28:00Z</dcterms:created>
  <dcterms:modified xsi:type="dcterms:W3CDTF">2017-11-13T07:28:00Z</dcterms:modified>
</cp:coreProperties>
</file>