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C45" w:rsidRPr="00983C45" w:rsidRDefault="00983C45" w:rsidP="00983C45">
      <w:pPr>
        <w:jc w:val="lowKashida"/>
        <w:rPr>
          <w:rFonts w:asciiTheme="majorBidi" w:hAnsiTheme="majorBidi" w:cstheme="majorBidi"/>
          <w:b/>
          <w:bCs/>
          <w:sz w:val="44"/>
          <w:szCs w:val="44"/>
        </w:rPr>
      </w:pPr>
      <w:bookmarkStart w:id="0" w:name="_GoBack"/>
      <w:bookmarkEnd w:id="0"/>
      <w:r w:rsidRPr="00983C45">
        <w:rPr>
          <w:rFonts w:asciiTheme="majorBidi" w:hAnsiTheme="majorBidi" w:cstheme="majorBidi"/>
          <w:b/>
          <w:bCs/>
          <w:sz w:val="44"/>
          <w:szCs w:val="44"/>
        </w:rPr>
        <w:t>Prognostic factors in survival of colorectal cancer patients</w:t>
      </w:r>
    </w:p>
    <w:p w:rsidR="00983C45" w:rsidRPr="00983C45" w:rsidRDefault="00983C45" w:rsidP="00983C45">
      <w:pPr>
        <w:jc w:val="lowKashida"/>
        <w:rPr>
          <w:rFonts w:asciiTheme="majorBidi" w:hAnsiTheme="majorBidi" w:cstheme="majorBidi"/>
          <w:sz w:val="32"/>
          <w:szCs w:val="32"/>
        </w:rPr>
      </w:pPr>
    </w:p>
    <w:p w:rsidR="00983C45" w:rsidRPr="00983C45" w:rsidRDefault="00983C45" w:rsidP="00983C45">
      <w:pPr>
        <w:jc w:val="lowKashida"/>
        <w:rPr>
          <w:rFonts w:asciiTheme="majorBidi" w:eastAsia="Times New Roman" w:hAnsiTheme="majorBidi" w:cstheme="majorBidi"/>
          <w:sz w:val="40"/>
          <w:szCs w:val="40"/>
        </w:rPr>
      </w:pPr>
      <w:r w:rsidRPr="00983C45">
        <w:rPr>
          <w:rFonts w:asciiTheme="majorBidi" w:eastAsia="Times New Roman" w:hAnsiTheme="majorBidi" w:cstheme="majorBidi"/>
          <w:sz w:val="40"/>
          <w:szCs w:val="40"/>
        </w:rPr>
        <w:t>The aim of study was to determine the factors affecting survival, following resection of large bowel for colorectal carcinoma from a single referral hospital.</w:t>
      </w:r>
    </w:p>
    <w:p w:rsidR="00983C45" w:rsidRPr="00983C45" w:rsidRDefault="00983C45" w:rsidP="00983C45">
      <w:pPr>
        <w:jc w:val="lowKashida"/>
        <w:rPr>
          <w:rFonts w:asciiTheme="majorBidi" w:eastAsia="Times New Roman" w:hAnsiTheme="majorBidi" w:cstheme="majorBidi"/>
          <w:sz w:val="40"/>
          <w:szCs w:val="40"/>
        </w:rPr>
      </w:pPr>
      <w:r w:rsidRPr="00983C45">
        <w:rPr>
          <w:rFonts w:asciiTheme="majorBidi" w:eastAsia="Times New Roman" w:hAnsiTheme="majorBidi" w:cstheme="majorBidi"/>
          <w:sz w:val="40"/>
          <w:szCs w:val="40"/>
        </w:rPr>
        <w:t xml:space="preserve">A total of 545 patients who had undergone colorectal resection between 2006 and 2011 were identified. Cases with recurrent colorectal cancer or previous history of neoadjuvant chemotherapy were excluded. Survival curves were plotted using the Kaplan-Meier method. Univariate analysis of factors thought to influence survival was then made using </w:t>
      </w:r>
      <w:proofErr w:type="spellStart"/>
      <w:r w:rsidRPr="00983C45">
        <w:rPr>
          <w:rFonts w:asciiTheme="majorBidi" w:eastAsia="Times New Roman" w:hAnsiTheme="majorBidi" w:cstheme="majorBidi"/>
          <w:sz w:val="40"/>
          <w:szCs w:val="40"/>
        </w:rPr>
        <w:t>Logrank</w:t>
      </w:r>
      <w:proofErr w:type="spellEnd"/>
      <w:r w:rsidRPr="00983C45">
        <w:rPr>
          <w:rFonts w:asciiTheme="majorBidi" w:eastAsia="Times New Roman" w:hAnsiTheme="majorBidi" w:cstheme="majorBidi"/>
          <w:sz w:val="40"/>
          <w:szCs w:val="40"/>
        </w:rPr>
        <w:t xml:space="preserve"> test. Criteria studied consisted of age, gender, TNM stage, T-status, nodal status, distant metastasis, histological grade, tumor location, preoperative carcinoembryonic antigen (CEA) level and liver function tests. Multivariate analysis was conducted using Cox regression analysis. The mean survival time for all patients was 43 (SEM = 2.8) months. The overall 1-, 3- and 5-year survival rates were 71%, 52% and 45%, respectively. In univariate analysis, patients' age (P &lt; 0.001), TNM stage (P &lt; 0.001), T-status (P = 0.015), nodal status (P = 0.014), distant metastasis (P &lt; 0.001), grade (P = 0.005), and </w:t>
      </w:r>
      <w:proofErr w:type="spellStart"/>
      <w:r w:rsidRPr="00983C45">
        <w:rPr>
          <w:rFonts w:asciiTheme="majorBidi" w:eastAsia="Times New Roman" w:hAnsiTheme="majorBidi" w:cstheme="majorBidi"/>
          <w:sz w:val="40"/>
          <w:szCs w:val="40"/>
        </w:rPr>
        <w:t>presurgery</w:t>
      </w:r>
      <w:proofErr w:type="spellEnd"/>
      <w:r w:rsidRPr="00983C45">
        <w:rPr>
          <w:rFonts w:asciiTheme="majorBidi" w:eastAsia="Times New Roman" w:hAnsiTheme="majorBidi" w:cstheme="majorBidi"/>
          <w:sz w:val="40"/>
          <w:szCs w:val="40"/>
        </w:rPr>
        <w:t xml:space="preserve"> CEA level &gt; 5 ng/ml (P = 0.021) were found to be predictors that could affect survival. In Cox regression analysis, age (P &lt; 0.001), TNM stage (P = 0.001) and grade (P = 0.008) were determined as independent prognostic factors of survival. Age, TNM stage, T-status, nodal status, </w:t>
      </w:r>
      <w:r w:rsidRPr="00983C45">
        <w:rPr>
          <w:rFonts w:asciiTheme="majorBidi" w:eastAsia="Times New Roman" w:hAnsiTheme="majorBidi" w:cstheme="majorBidi"/>
          <w:sz w:val="40"/>
          <w:szCs w:val="40"/>
        </w:rPr>
        <w:lastRenderedPageBreak/>
        <w:t xml:space="preserve">distant metastasis, grade and </w:t>
      </w:r>
      <w:proofErr w:type="spellStart"/>
      <w:r w:rsidRPr="00983C45">
        <w:rPr>
          <w:rFonts w:asciiTheme="majorBidi" w:eastAsia="Times New Roman" w:hAnsiTheme="majorBidi" w:cstheme="majorBidi"/>
          <w:sz w:val="40"/>
          <w:szCs w:val="40"/>
        </w:rPr>
        <w:t>presurgery</w:t>
      </w:r>
      <w:proofErr w:type="spellEnd"/>
      <w:r w:rsidRPr="00983C45">
        <w:rPr>
          <w:rFonts w:asciiTheme="majorBidi" w:eastAsia="Times New Roman" w:hAnsiTheme="majorBidi" w:cstheme="majorBidi"/>
          <w:sz w:val="40"/>
          <w:szCs w:val="40"/>
        </w:rPr>
        <w:t xml:space="preserve"> CEA level can predict the postsurgical survival rate in patients with colorectal cancer. </w:t>
      </w:r>
    </w:p>
    <w:p w:rsidR="000839C5" w:rsidRDefault="000839C5"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983C45">
      <w:pPr>
        <w:jc w:val="lowKashida"/>
      </w:pPr>
    </w:p>
    <w:p w:rsidR="00E31FD3" w:rsidRDefault="00E31FD3" w:rsidP="00E31FD3">
      <w:pPr>
        <w:jc w:val="lowKashida"/>
      </w:pPr>
      <w:r>
        <w:rPr>
          <w:noProof/>
          <w:sz w:val="32"/>
          <w:szCs w:val="32"/>
        </w:rPr>
        <w:lastRenderedPageBreak/>
        <w:drawing>
          <wp:inline distT="0" distB="0" distL="0" distR="0" wp14:anchorId="3B7012B9" wp14:editId="558B08BD">
            <wp:extent cx="4469130" cy="3747770"/>
            <wp:effectExtent l="0" t="0" r="1270" b="11430"/>
            <wp:docPr id="1" name="Picture 1" descr="Macintosh HD:Users:farhadmehrkhani:Desktop:Figure-1-Cumulative-survival-rate-of-CRC-patients-after-surgery-month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arhadmehrkhani:Desktop:Figure-1-Cumulative-survival-rate-of-CRC-patients-after-surgery-month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69130" cy="3747770"/>
                    </a:xfrm>
                    <a:prstGeom prst="rect">
                      <a:avLst/>
                    </a:prstGeom>
                    <a:noFill/>
                    <a:ln>
                      <a:noFill/>
                    </a:ln>
                  </pic:spPr>
                </pic:pic>
              </a:graphicData>
            </a:graphic>
          </wp:inline>
        </w:drawing>
      </w:r>
    </w:p>
    <w:p w:rsidR="00E31FD3" w:rsidRDefault="00E31FD3" w:rsidP="00983C45">
      <w:pPr>
        <w:jc w:val="lowKashida"/>
      </w:pPr>
      <w:r>
        <w:rPr>
          <w:noProof/>
          <w:sz w:val="32"/>
          <w:szCs w:val="32"/>
        </w:rPr>
        <w:drawing>
          <wp:inline distT="0" distB="0" distL="0" distR="0" wp14:anchorId="33B145E3" wp14:editId="32D2DC7F">
            <wp:extent cx="4598035" cy="3915410"/>
            <wp:effectExtent l="0" t="0" r="0" b="0"/>
            <wp:docPr id="2" name="Picture 2" descr="Macintosh HD:Users:farhadmehrkhani:Desktop:Figure-2-Cumulative-survival-rate-of-CRC-patients-after-surgery-by-stage-of-dise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arhadmehrkhani:Desktop:Figure-2-Cumulative-survival-rate-of-CRC-patients-after-surgery-by-stage-of-diseas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98035" cy="3915410"/>
                    </a:xfrm>
                    <a:prstGeom prst="rect">
                      <a:avLst/>
                    </a:prstGeom>
                    <a:noFill/>
                    <a:ln>
                      <a:noFill/>
                    </a:ln>
                  </pic:spPr>
                </pic:pic>
              </a:graphicData>
            </a:graphic>
          </wp:inline>
        </w:drawing>
      </w:r>
    </w:p>
    <w:sectPr w:rsidR="00E3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C45"/>
    <w:rsid w:val="000839C5"/>
    <w:rsid w:val="00983C45"/>
    <w:rsid w:val="00D76A2A"/>
    <w:rsid w:val="00E31FD3"/>
    <w:rsid w:val="00EF49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617D1C-96FE-43F4-B76E-D503F25C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C45"/>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Farnaz</dc:creator>
  <cp:keywords/>
  <dc:description/>
  <cp:lastModifiedBy>Farnaz</cp:lastModifiedBy>
  <cp:revision>5</cp:revision>
  <dcterms:created xsi:type="dcterms:W3CDTF">2017-09-25T09:43:00Z</dcterms:created>
  <dcterms:modified xsi:type="dcterms:W3CDTF">2017-09-25T10:06:00Z</dcterms:modified>
</cp:coreProperties>
</file>