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B93" w:rsidRDefault="00D36BDD" w:rsidP="00BF17A2">
      <w:pPr>
        <w:pStyle w:val="Heading1"/>
      </w:pPr>
      <w:r>
        <w:t>At what point does a community model benefit or fail persons prescribed clozapine?</w:t>
      </w:r>
    </w:p>
    <w:p w:rsidR="006C34C1" w:rsidRDefault="00D36BDD">
      <w:r w:rsidRPr="0061670A">
        <w:rPr>
          <w:b/>
        </w:rPr>
        <w:t>Authors</w:t>
      </w:r>
      <w:r>
        <w:t>:</w:t>
      </w:r>
      <w:r w:rsidR="00B57D15">
        <w:t xml:space="preserve"> </w:t>
      </w:r>
      <w:r>
        <w:t>Mary-Claire Hanlon</w:t>
      </w:r>
      <w:r w:rsidR="005274BE">
        <w:t xml:space="preserve"> (PhD)</w:t>
      </w:r>
      <w:r w:rsidR="00F160B1">
        <w:t xml:space="preserve">, </w:t>
      </w:r>
      <w:r w:rsidR="00C43ED5">
        <w:t xml:space="preserve">Peter </w:t>
      </w:r>
      <w:proofErr w:type="spellStart"/>
      <w:r w:rsidR="00C43ED5">
        <w:t>MacIsaac</w:t>
      </w:r>
      <w:proofErr w:type="spellEnd"/>
      <w:r w:rsidR="00C43ED5">
        <w:t xml:space="preserve">, </w:t>
      </w:r>
      <w:r w:rsidR="00BF17A2">
        <w:t>Anthony Paul O’Brien,</w:t>
      </w:r>
      <w:r w:rsidR="0048349F">
        <w:t xml:space="preserve"> </w:t>
      </w:r>
      <w:proofErr w:type="spellStart"/>
      <w:r w:rsidR="00C43ED5">
        <w:t>Dominiek</w:t>
      </w:r>
      <w:proofErr w:type="spellEnd"/>
      <w:r w:rsidR="00C43ED5">
        <w:t xml:space="preserve"> Coates, </w:t>
      </w:r>
      <w:r w:rsidR="0048349F">
        <w:t>Marcia Fogarty</w:t>
      </w:r>
    </w:p>
    <w:p w:rsidR="005274BE" w:rsidRDefault="005274BE">
      <w:r>
        <w:t>Presenting Author: Mary-Claire Hanlon</w:t>
      </w:r>
    </w:p>
    <w:p w:rsidR="00D36BDD" w:rsidRPr="005274BE" w:rsidRDefault="00D36BDD" w:rsidP="005274BE">
      <w:pPr>
        <w:pStyle w:val="Subtitle"/>
        <w:rPr>
          <w:b/>
          <w:color w:val="E36C0A" w:themeColor="accent6" w:themeShade="BF"/>
        </w:rPr>
      </w:pPr>
      <w:r w:rsidRPr="005274BE">
        <w:rPr>
          <w:b/>
          <w:color w:val="E36C0A" w:themeColor="accent6" w:themeShade="BF"/>
        </w:rPr>
        <w:t>Abstract</w:t>
      </w:r>
      <w:r w:rsidR="005274BE">
        <w:rPr>
          <w:b/>
          <w:color w:val="E36C0A" w:themeColor="accent6" w:themeShade="BF"/>
        </w:rPr>
        <w:t xml:space="preserve"> (</w:t>
      </w:r>
      <w:r w:rsidR="004C0F58">
        <w:rPr>
          <w:b/>
          <w:color w:val="E36C0A" w:themeColor="accent6" w:themeShade="BF"/>
        </w:rPr>
        <w:t>300-word</w:t>
      </w:r>
      <w:r w:rsidR="005274BE">
        <w:rPr>
          <w:b/>
          <w:color w:val="E36C0A" w:themeColor="accent6" w:themeShade="BF"/>
        </w:rPr>
        <w:t xml:space="preserve"> limit)</w:t>
      </w:r>
    </w:p>
    <w:p w:rsidR="007A25F7" w:rsidRDefault="00B42025">
      <w:r>
        <w:rPr>
          <w:b/>
        </w:rPr>
        <w:t>Statement of the Problem</w:t>
      </w:r>
      <w:r w:rsidR="00D36BDD">
        <w:t xml:space="preserve">: In Australia, the prescription, delivery and monitoring of clozapine </w:t>
      </w:r>
      <w:r w:rsidR="006C34C1">
        <w:t xml:space="preserve">- </w:t>
      </w:r>
      <w:r w:rsidR="00D36BDD">
        <w:t xml:space="preserve">for people with treatment-resistant schizophrenia </w:t>
      </w:r>
      <w:r w:rsidR="006C34C1">
        <w:t>- has moved from the</w:t>
      </w:r>
      <w:r w:rsidR="00D36BDD">
        <w:t xml:space="preserve"> hospital setting, to various community models. While this </w:t>
      </w:r>
      <w:r>
        <w:t>might reduce</w:t>
      </w:r>
      <w:r w:rsidR="00D36BDD">
        <w:t xml:space="preserve"> stigma associated with having an intractable psychotic disorder, clozapine use must be strictly monitored. Simultaneously, a new system of healthcare has emerged</w:t>
      </w:r>
      <w:r w:rsidR="006C34C1">
        <w:t xml:space="preserve"> (called the National Disability Insurance Scheme, NDIS)</w:t>
      </w:r>
      <w:r w:rsidR="00D36BDD">
        <w:t xml:space="preserve">, rolled out in the Hunter Region of New South Wales, in which the Federal Government pays </w:t>
      </w:r>
      <w:r w:rsidR="006C34C1">
        <w:t xml:space="preserve">registered </w:t>
      </w:r>
      <w:r w:rsidR="00D36BDD">
        <w:t>community-managed organisations (CMOs) to provide supportive care to people with severe mental illnesses. It is</w:t>
      </w:r>
      <w:r w:rsidR="004872A7">
        <w:t xml:space="preserve">, </w:t>
      </w:r>
      <w:r w:rsidR="004C0F58">
        <w:t>currently</w:t>
      </w:r>
      <w:r w:rsidR="004872A7">
        <w:t>,</w:t>
      </w:r>
      <w:r w:rsidR="009C31E8">
        <w:t xml:space="preserve"> </w:t>
      </w:r>
      <w:r w:rsidR="00D36BDD">
        <w:t xml:space="preserve">unknown </w:t>
      </w:r>
      <w:r w:rsidR="006C34C1">
        <w:t>how</w:t>
      </w:r>
      <w:r w:rsidR="00D36BDD">
        <w:t xml:space="preserve"> these community models </w:t>
      </w:r>
      <w:r w:rsidR="006C34C1">
        <w:t>impact</w:t>
      </w:r>
      <w:r w:rsidR="00D36BDD">
        <w:t xml:space="preserve"> the wellbeing of participants.</w:t>
      </w:r>
      <w:r>
        <w:t xml:space="preserve"> We aim to</w:t>
      </w:r>
      <w:r w:rsidR="00D36BDD">
        <w:t xml:space="preserve"> ascertain the capacity for CMO staff to identify and manage clozapine-related adverse events; while </w:t>
      </w:r>
      <w:r w:rsidR="007A25F7">
        <w:t xml:space="preserve">documenting the clozapine care pathway </w:t>
      </w:r>
      <w:r w:rsidR="0019349B">
        <w:t>across</w:t>
      </w:r>
      <w:r w:rsidR="007A25F7">
        <w:t xml:space="preserve"> the community.</w:t>
      </w:r>
      <w:r w:rsidR="00D36BDD">
        <w:t xml:space="preserve"> </w:t>
      </w:r>
      <w:r w:rsidRPr="00B42025">
        <w:rPr>
          <w:b/>
        </w:rPr>
        <w:t>Methodology &amp; Theoretical Orientation</w:t>
      </w:r>
      <w:r w:rsidR="007A25F7">
        <w:t xml:space="preserve">: </w:t>
      </w:r>
      <w:r w:rsidR="009C31E8">
        <w:t>The study utilise</w:t>
      </w:r>
      <w:r w:rsidR="00667ADB">
        <w:t>s</w:t>
      </w:r>
      <w:r w:rsidR="009C31E8">
        <w:t xml:space="preserve"> </w:t>
      </w:r>
      <w:r w:rsidR="007A25F7" w:rsidRPr="007A25F7">
        <w:t xml:space="preserve">a mixed-methods approach with clozapine recipients, their carers, and relevant clinical </w:t>
      </w:r>
      <w:r w:rsidR="007A25F7">
        <w:t xml:space="preserve">and CMO </w:t>
      </w:r>
      <w:r w:rsidR="007A25F7" w:rsidRPr="007A25F7">
        <w:t>staff, including semi-structured qualitative interviews and a quality of life survey for recipients</w:t>
      </w:r>
      <w:r w:rsidR="007A25F7">
        <w:t xml:space="preserve">. </w:t>
      </w:r>
      <w:r w:rsidRPr="00B42025">
        <w:rPr>
          <w:b/>
        </w:rPr>
        <w:t>Findings:</w:t>
      </w:r>
      <w:r w:rsidR="007A25F7">
        <w:t xml:space="preserve"> At the time of writing, results were preliminary</w:t>
      </w:r>
      <w:r w:rsidR="00D10910">
        <w:t xml:space="preserve">, showing </w:t>
      </w:r>
      <w:r w:rsidR="007A25F7">
        <w:t xml:space="preserve">two clear pathways. The </w:t>
      </w:r>
      <w:r w:rsidR="0031254A">
        <w:t>first -</w:t>
      </w:r>
      <w:r w:rsidR="007A25F7">
        <w:t xml:space="preserve"> incorporating the publicly-funded mental health service and associated community mental health team, general practitioners and pharmacists</w:t>
      </w:r>
      <w:r w:rsidR="0031254A">
        <w:t xml:space="preserve"> -</w:t>
      </w:r>
      <w:r w:rsidR="007A25F7">
        <w:t xml:space="preserve"> showed </w:t>
      </w:r>
      <w:r w:rsidR="0031254A">
        <w:t>appropriate</w:t>
      </w:r>
      <w:r w:rsidR="007A25F7">
        <w:t xml:space="preserve"> knowledge of the guidelines, risks and actions required to protect participants from adverse </w:t>
      </w:r>
      <w:r w:rsidR="009C31E8">
        <w:t xml:space="preserve">treatment </w:t>
      </w:r>
      <w:r w:rsidR="007A25F7">
        <w:t xml:space="preserve">events. The </w:t>
      </w:r>
      <w:r w:rsidR="0022670D">
        <w:t>second pathway -</w:t>
      </w:r>
      <w:r w:rsidR="007A25F7">
        <w:t xml:space="preserve"> incorporating</w:t>
      </w:r>
      <w:r w:rsidR="0022670D">
        <w:t xml:space="preserve"> CMO staff -</w:t>
      </w:r>
      <w:r w:rsidR="007A25F7">
        <w:t xml:space="preserve"> showed variable competence and confidence in </w:t>
      </w:r>
      <w:r w:rsidR="007A25F7">
        <w:t>p</w:t>
      </w:r>
      <w:r w:rsidR="00E350E1">
        <w:t>roactively engaging</w:t>
      </w:r>
      <w:r w:rsidR="007A25F7">
        <w:t xml:space="preserve"> with participants to reduce risks of clozapine-rel</w:t>
      </w:r>
      <w:r w:rsidR="00E350E1">
        <w:t>ated incidents</w:t>
      </w:r>
      <w:r w:rsidR="007A25F7">
        <w:t>.</w:t>
      </w:r>
      <w:r w:rsidR="0022670D">
        <w:t xml:space="preserve"> CMO staff c</w:t>
      </w:r>
      <w:r w:rsidR="007A25F7">
        <w:t xml:space="preserve">ould benefit from training in clozapine use, monitoring and management, as well as </w:t>
      </w:r>
      <w:r w:rsidR="006C34C1">
        <w:t>upskilling</w:t>
      </w:r>
      <w:r w:rsidR="007A25F7">
        <w:t xml:space="preserve"> in motivational interviewing, to engage participants to actively prevent clozapine-related side effects, hospitalisations and deaths.</w:t>
      </w:r>
      <w:r w:rsidR="00F160B1">
        <w:t xml:space="preserve"> Additionally, continued community involvement necessitates a </w:t>
      </w:r>
      <w:r w:rsidR="009C31E8">
        <w:t xml:space="preserve">comprehensive </w:t>
      </w:r>
      <w:r w:rsidR="00F160B1">
        <w:t xml:space="preserve">data management </w:t>
      </w:r>
      <w:r w:rsidR="009C31E8">
        <w:t>approach combining</w:t>
      </w:r>
      <w:r w:rsidR="00F160B1">
        <w:t xml:space="preserve"> all prescribing, physical and mental health monitoring data, as well as evaluation of support worker knowledge and attitudes.</w:t>
      </w:r>
    </w:p>
    <w:p w:rsidR="00BF17A2" w:rsidRPr="005274BE" w:rsidRDefault="005274BE" w:rsidP="00BF17A2">
      <w:pPr>
        <w:pStyle w:val="EndNoteCategoryHeading"/>
        <w:rPr>
          <w:noProof/>
          <w:sz w:val="18"/>
          <w:szCs w:val="18"/>
        </w:rPr>
      </w:pPr>
      <w:r w:rsidRPr="005274BE">
        <w:rPr>
          <w:rStyle w:val="SubtitleChar"/>
          <w:b/>
          <w:color w:val="E36C0A" w:themeColor="accent6" w:themeShade="BF"/>
        </w:rPr>
        <w:t>Recent Publications</w:t>
      </w:r>
      <w:r w:rsidR="00BF17A2" w:rsidRPr="005274BE">
        <w:rPr>
          <w:sz w:val="18"/>
          <w:szCs w:val="18"/>
        </w:rPr>
        <w:fldChar w:fldCharType="begin"/>
      </w:r>
      <w:r w:rsidR="00BF17A2" w:rsidRPr="005274BE">
        <w:rPr>
          <w:sz w:val="18"/>
          <w:szCs w:val="18"/>
        </w:rPr>
        <w:instrText xml:space="preserve"> ADDIN EN.REFLIST </w:instrText>
      </w:r>
      <w:r w:rsidR="00BF17A2" w:rsidRPr="005274BE">
        <w:rPr>
          <w:sz w:val="18"/>
          <w:szCs w:val="18"/>
        </w:rPr>
        <w:fldChar w:fldCharType="separate"/>
      </w:r>
    </w:p>
    <w:p w:rsidR="00BF17A2" w:rsidRPr="005274BE" w:rsidRDefault="00BF17A2" w:rsidP="00BF17A2">
      <w:pPr>
        <w:pStyle w:val="EndNoteBibliography"/>
        <w:numPr>
          <w:ilvl w:val="0"/>
          <w:numId w:val="1"/>
        </w:numPr>
        <w:spacing w:after="0"/>
        <w:rPr>
          <w:sz w:val="18"/>
          <w:szCs w:val="18"/>
        </w:rPr>
      </w:pPr>
      <w:r w:rsidRPr="005274BE">
        <w:rPr>
          <w:sz w:val="18"/>
          <w:szCs w:val="18"/>
        </w:rPr>
        <w:t xml:space="preserve">Campbell, L. E., </w:t>
      </w:r>
      <w:r w:rsidRPr="00A54E12">
        <w:rPr>
          <w:b/>
          <w:sz w:val="18"/>
          <w:szCs w:val="18"/>
        </w:rPr>
        <w:t>Hanlon</w:t>
      </w:r>
      <w:r w:rsidRPr="005274BE">
        <w:rPr>
          <w:sz w:val="18"/>
          <w:szCs w:val="18"/>
        </w:rPr>
        <w:t xml:space="preserve">, M. C., Galletly, C., Harvey, C., Stain, H. J., Cohen, M., Brown, S. D., &amp; van Ravenzwaaij, D. (2017). Severity of illness and adaptive functioning predict quality of care of children among parents with psychotic disorders: A confirmatory factor analysis. </w:t>
      </w:r>
      <w:r w:rsidRPr="005274BE">
        <w:rPr>
          <w:i/>
          <w:sz w:val="18"/>
          <w:szCs w:val="18"/>
        </w:rPr>
        <w:t>Australian &amp; New Zealand Journal of Psychiatry, Accepted 17/8/2017</w:t>
      </w:r>
      <w:r w:rsidRPr="005274BE">
        <w:rPr>
          <w:sz w:val="18"/>
          <w:szCs w:val="18"/>
        </w:rPr>
        <w:t xml:space="preserve">. </w:t>
      </w:r>
    </w:p>
    <w:p w:rsidR="00BF17A2" w:rsidRPr="005274BE" w:rsidRDefault="00BF17A2" w:rsidP="00BF17A2">
      <w:pPr>
        <w:pStyle w:val="EndNoteBibliography"/>
        <w:numPr>
          <w:ilvl w:val="0"/>
          <w:numId w:val="1"/>
        </w:numPr>
        <w:spacing w:after="0"/>
        <w:rPr>
          <w:sz w:val="18"/>
          <w:szCs w:val="18"/>
        </w:rPr>
      </w:pPr>
      <w:r w:rsidRPr="00A54E12">
        <w:rPr>
          <w:b/>
          <w:sz w:val="18"/>
          <w:szCs w:val="18"/>
        </w:rPr>
        <w:t>Hanlon</w:t>
      </w:r>
      <w:r w:rsidRPr="005274BE">
        <w:rPr>
          <w:sz w:val="18"/>
          <w:szCs w:val="18"/>
        </w:rPr>
        <w:t xml:space="preserve">, M. C., Campbell, L., Single, N., Coleman, C., Morgan, V. A., Stain, H., Cotton, S., &amp; Castle, D. (2017). Men and women with psychosis and the impact of illness-duration on sex-differences: The second Australian national survey of psychosis. </w:t>
      </w:r>
      <w:r w:rsidRPr="005274BE">
        <w:rPr>
          <w:i/>
          <w:sz w:val="18"/>
          <w:szCs w:val="18"/>
        </w:rPr>
        <w:t>Psychiatry Res, 256</w:t>
      </w:r>
      <w:r w:rsidRPr="005274BE">
        <w:rPr>
          <w:sz w:val="18"/>
          <w:szCs w:val="18"/>
        </w:rPr>
        <w:t>, 130-143. doi:</w:t>
      </w:r>
      <w:hyperlink r:id="rId5" w:history="1">
        <w:r w:rsidRPr="005274BE">
          <w:rPr>
            <w:rStyle w:val="Hyperlink"/>
            <w:sz w:val="18"/>
            <w:szCs w:val="18"/>
          </w:rPr>
          <w:t>http://dx.doi.org/10.1016/j.psychres.2017.06.024</w:t>
        </w:r>
      </w:hyperlink>
    </w:p>
    <w:p w:rsidR="00BF17A2" w:rsidRPr="005274BE" w:rsidRDefault="00BF17A2" w:rsidP="00BF17A2">
      <w:pPr>
        <w:pStyle w:val="EndNoteBibliography"/>
        <w:numPr>
          <w:ilvl w:val="0"/>
          <w:numId w:val="1"/>
        </w:numPr>
        <w:spacing w:after="0"/>
        <w:rPr>
          <w:sz w:val="18"/>
          <w:szCs w:val="18"/>
        </w:rPr>
      </w:pPr>
      <w:r w:rsidRPr="00A54E12">
        <w:rPr>
          <w:b/>
          <w:sz w:val="18"/>
          <w:szCs w:val="18"/>
        </w:rPr>
        <w:t>Hanlon</w:t>
      </w:r>
      <w:r w:rsidRPr="005274BE">
        <w:rPr>
          <w:sz w:val="18"/>
          <w:szCs w:val="18"/>
        </w:rPr>
        <w:t xml:space="preserve">, M. C., Ludbrook, J., Jovanovic, K., Greer, P., &amp; Martin, J. M. (2017). Fostering a Culture of Research within a Clinical Radiation Oncology Department. </w:t>
      </w:r>
      <w:r w:rsidRPr="005274BE">
        <w:rPr>
          <w:i/>
          <w:sz w:val="18"/>
          <w:szCs w:val="18"/>
        </w:rPr>
        <w:t>Journal of Medical Imaging and Radiation Oncology, Accepted 20/08/2017</w:t>
      </w:r>
      <w:r w:rsidRPr="005274BE">
        <w:rPr>
          <w:sz w:val="18"/>
          <w:szCs w:val="18"/>
        </w:rPr>
        <w:t>. doi:10.1111/1754-9485.12662</w:t>
      </w:r>
      <w:r w:rsidR="004C0F58">
        <w:rPr>
          <w:sz w:val="18"/>
          <w:szCs w:val="18"/>
        </w:rPr>
        <w:t xml:space="preserve"> </w:t>
      </w:r>
    </w:p>
    <w:p w:rsidR="00BF17A2" w:rsidRPr="005274BE" w:rsidRDefault="00BF17A2" w:rsidP="00BF17A2">
      <w:pPr>
        <w:pStyle w:val="EndNoteBibliography"/>
        <w:numPr>
          <w:ilvl w:val="0"/>
          <w:numId w:val="1"/>
        </w:numPr>
        <w:spacing w:after="0"/>
        <w:rPr>
          <w:sz w:val="18"/>
          <w:szCs w:val="18"/>
        </w:rPr>
      </w:pPr>
      <w:r w:rsidRPr="00A54E12">
        <w:rPr>
          <w:b/>
          <w:sz w:val="18"/>
          <w:szCs w:val="18"/>
        </w:rPr>
        <w:t>Hanlon</w:t>
      </w:r>
      <w:r w:rsidRPr="005274BE">
        <w:rPr>
          <w:sz w:val="18"/>
          <w:szCs w:val="18"/>
        </w:rPr>
        <w:t xml:space="preserve">, M. C., &amp; Quidé, Y. (2017). Detecting an intention to communicate from non-word sounds. </w:t>
      </w:r>
      <w:r w:rsidRPr="005274BE">
        <w:rPr>
          <w:i/>
          <w:sz w:val="18"/>
          <w:szCs w:val="18"/>
        </w:rPr>
        <w:t>Psychology and Neuroscience, Accepted 18/08//2017</w:t>
      </w:r>
      <w:r w:rsidRPr="005274BE">
        <w:rPr>
          <w:sz w:val="18"/>
          <w:szCs w:val="18"/>
        </w:rPr>
        <w:t xml:space="preserve">. </w:t>
      </w:r>
    </w:p>
    <w:p w:rsidR="00BF17A2" w:rsidRPr="005274BE" w:rsidRDefault="00BF17A2" w:rsidP="00BF17A2">
      <w:pPr>
        <w:pStyle w:val="EndNoteBibliography"/>
        <w:numPr>
          <w:ilvl w:val="0"/>
          <w:numId w:val="1"/>
        </w:numPr>
        <w:spacing w:after="0"/>
        <w:rPr>
          <w:sz w:val="18"/>
          <w:szCs w:val="18"/>
        </w:rPr>
      </w:pPr>
      <w:r w:rsidRPr="005274BE">
        <w:rPr>
          <w:sz w:val="18"/>
          <w:szCs w:val="18"/>
        </w:rPr>
        <w:t xml:space="preserve">Mucheru, D., </w:t>
      </w:r>
      <w:r w:rsidRPr="00A54E12">
        <w:rPr>
          <w:b/>
          <w:sz w:val="18"/>
          <w:szCs w:val="18"/>
        </w:rPr>
        <w:t>Hanlon</w:t>
      </w:r>
      <w:r w:rsidRPr="005274BE">
        <w:rPr>
          <w:sz w:val="18"/>
          <w:szCs w:val="18"/>
        </w:rPr>
        <w:t xml:space="preserve">, M. C., Campbell, L. E., McEvoy, M., &amp; MacDonald-Wicks, L. (2017). The comparative efficacy of lifestyle intervention strategies that target weight outcomes in people with psychosis; a systematic review and network meta-analysis. </w:t>
      </w:r>
      <w:r w:rsidRPr="005274BE">
        <w:rPr>
          <w:i/>
          <w:sz w:val="18"/>
          <w:szCs w:val="18"/>
        </w:rPr>
        <w:t>JBI Database System Rev Implement Rep, 15</w:t>
      </w:r>
      <w:r w:rsidRPr="005274BE">
        <w:rPr>
          <w:sz w:val="18"/>
          <w:szCs w:val="18"/>
        </w:rPr>
        <w:t>(6), 1593-1601. doi:10.11124/JBISRIR-2016-003121</w:t>
      </w:r>
    </w:p>
    <w:p w:rsidR="00BF17A2" w:rsidRPr="005274BE" w:rsidRDefault="00BF17A2" w:rsidP="00BF17A2">
      <w:pPr>
        <w:pStyle w:val="EndNoteBibliography"/>
        <w:numPr>
          <w:ilvl w:val="0"/>
          <w:numId w:val="1"/>
        </w:numPr>
        <w:spacing w:after="0"/>
        <w:rPr>
          <w:sz w:val="18"/>
          <w:szCs w:val="18"/>
        </w:rPr>
      </w:pPr>
      <w:r w:rsidRPr="005274BE">
        <w:rPr>
          <w:sz w:val="18"/>
          <w:szCs w:val="18"/>
        </w:rPr>
        <w:t xml:space="preserve">Mucheru, D., </w:t>
      </w:r>
      <w:r w:rsidRPr="00A54E12">
        <w:rPr>
          <w:b/>
          <w:sz w:val="18"/>
          <w:szCs w:val="18"/>
        </w:rPr>
        <w:t>Hanlon</w:t>
      </w:r>
      <w:r w:rsidRPr="005274BE">
        <w:rPr>
          <w:sz w:val="18"/>
          <w:szCs w:val="18"/>
        </w:rPr>
        <w:t xml:space="preserve">, M. C., Campbell, L. E., McEvoy, M., &amp; MacDonald-Wicks, L. (2017). Social dysfunction and diet outcomes in people with psychosis. </w:t>
      </w:r>
      <w:r w:rsidRPr="005274BE">
        <w:rPr>
          <w:i/>
          <w:sz w:val="18"/>
          <w:szCs w:val="18"/>
        </w:rPr>
        <w:t>Nutrients, 9</w:t>
      </w:r>
      <w:r w:rsidRPr="005274BE">
        <w:rPr>
          <w:sz w:val="18"/>
          <w:szCs w:val="18"/>
        </w:rPr>
        <w:t xml:space="preserve">(1). </w:t>
      </w:r>
    </w:p>
    <w:p w:rsidR="00BF17A2" w:rsidRPr="005274BE" w:rsidRDefault="00BF17A2" w:rsidP="00BF17A2">
      <w:pPr>
        <w:pStyle w:val="EndNoteBibliography"/>
        <w:numPr>
          <w:ilvl w:val="0"/>
          <w:numId w:val="1"/>
        </w:numPr>
        <w:rPr>
          <w:sz w:val="18"/>
          <w:szCs w:val="18"/>
        </w:rPr>
      </w:pPr>
      <w:r w:rsidRPr="005274BE">
        <w:rPr>
          <w:sz w:val="18"/>
          <w:szCs w:val="18"/>
        </w:rPr>
        <w:t xml:space="preserve">Wilton, L., Richardson, M., Keats, S., Legge, K., </w:t>
      </w:r>
      <w:bookmarkStart w:id="0" w:name="_GoBack"/>
      <w:r w:rsidRPr="00A54E12">
        <w:rPr>
          <w:b/>
          <w:sz w:val="18"/>
          <w:szCs w:val="18"/>
        </w:rPr>
        <w:t>Hanlon</w:t>
      </w:r>
      <w:bookmarkEnd w:id="0"/>
      <w:r w:rsidRPr="005274BE">
        <w:rPr>
          <w:sz w:val="18"/>
          <w:szCs w:val="18"/>
        </w:rPr>
        <w:t xml:space="preserve">, M. C., Arumugam, S., Hunter, P., Evans, T., Sidhom, M., &amp; Martin, J. (2017). Rectal protection in prostate stereotactic radiotherapy: A retrospective exploratory analysis of two rectal displacement devices. </w:t>
      </w:r>
      <w:r w:rsidRPr="005274BE">
        <w:rPr>
          <w:i/>
          <w:sz w:val="18"/>
          <w:szCs w:val="18"/>
        </w:rPr>
        <w:t>Journal of Medical Radiation Sciences, Online</w:t>
      </w:r>
      <w:r w:rsidRPr="005274BE">
        <w:rPr>
          <w:sz w:val="18"/>
          <w:szCs w:val="18"/>
        </w:rPr>
        <w:t>(10.1002/jmrs.238). doi:10.1002/jmrs.238</w:t>
      </w:r>
    </w:p>
    <w:p w:rsidR="005274BE" w:rsidRDefault="00BF17A2" w:rsidP="005274BE">
      <w:pPr>
        <w:pStyle w:val="Subtitle"/>
      </w:pPr>
      <w:r w:rsidRPr="005274BE">
        <w:fldChar w:fldCharType="end"/>
      </w:r>
    </w:p>
    <w:p w:rsidR="00D36BDD" w:rsidRDefault="005274BE" w:rsidP="005274BE">
      <w:pPr>
        <w:pStyle w:val="Subtitle"/>
        <w:rPr>
          <w:b/>
          <w:color w:val="E36C0A" w:themeColor="accent6" w:themeShade="BF"/>
        </w:rPr>
      </w:pPr>
      <w:r w:rsidRPr="005274BE">
        <w:rPr>
          <w:b/>
          <w:color w:val="E36C0A" w:themeColor="accent6" w:themeShade="BF"/>
        </w:rPr>
        <w:lastRenderedPageBreak/>
        <w:t>Biography</w:t>
      </w:r>
      <w:r>
        <w:rPr>
          <w:b/>
          <w:color w:val="E36C0A" w:themeColor="accent6" w:themeShade="BF"/>
        </w:rPr>
        <w:t xml:space="preserve"> (</w:t>
      </w:r>
      <w:r w:rsidR="004C0F58">
        <w:rPr>
          <w:b/>
          <w:color w:val="E36C0A" w:themeColor="accent6" w:themeShade="BF"/>
        </w:rPr>
        <w:t>150-word</w:t>
      </w:r>
      <w:r>
        <w:rPr>
          <w:b/>
          <w:color w:val="E36C0A" w:themeColor="accent6" w:themeShade="BF"/>
        </w:rPr>
        <w:t xml:space="preserve"> limit)</w:t>
      </w:r>
    </w:p>
    <w:p w:rsidR="004C0F58" w:rsidRDefault="004C0F58" w:rsidP="004C0F58">
      <w:r>
        <w:rPr>
          <w:noProof/>
        </w:rPr>
        <w:drawing>
          <wp:inline distT="0" distB="0" distL="0" distR="0">
            <wp:extent cx="1943100" cy="13427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y-Claire_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54383" cy="1350516"/>
                    </a:xfrm>
                    <a:prstGeom prst="rect">
                      <a:avLst/>
                    </a:prstGeom>
                  </pic:spPr>
                </pic:pic>
              </a:graphicData>
            </a:graphic>
          </wp:inline>
        </w:drawing>
      </w:r>
    </w:p>
    <w:p w:rsidR="004C0F58" w:rsidRDefault="004C0F58" w:rsidP="004C0F58">
      <w:r>
        <w:t xml:space="preserve">In her current roles, Dr Mary-Claire Hanlon facilitates research development of health staff via social and organisational psychological techniques and implementation science, producing cultural and individual changes, and enabling clinical and allied health professionals to develop skills and confidence to conduct research in their workplace. Dr Hanlon is a highly experienced project manager, working in University and Health Service led mental health research projects as well as roll-outs of business software across multiple sites and highly-varied clients for private enterprise. </w:t>
      </w:r>
    </w:p>
    <w:p w:rsidR="004C0F58" w:rsidRDefault="004C0F58" w:rsidP="004C0F58">
      <w:r>
        <w:t>Dr Hanlon has over 15 years’ experience providing clinically diagnostic, cognitive, intellectual and functional assessment of persons aged 16 years and over.</w:t>
      </w:r>
    </w:p>
    <w:p w:rsidR="005274BE" w:rsidRDefault="004C0F58" w:rsidP="004C0F58">
      <w:r>
        <w:t>Dr Hanlon’s research focusses on psychotic illness using various qualitative and quantitative methodologies.</w:t>
      </w:r>
    </w:p>
    <w:p w:rsidR="004C0F58" w:rsidRDefault="004C0F58" w:rsidP="004C0F58"/>
    <w:p w:rsidR="004C0F58" w:rsidRDefault="004C0F58" w:rsidP="004C0F58">
      <w:r>
        <w:t>Email: Mary-Claire.Hanlon@Newcastle.edu.au</w:t>
      </w:r>
    </w:p>
    <w:p w:rsidR="004C0F58" w:rsidRDefault="004C0F58" w:rsidP="004C0F58">
      <w:r>
        <w:t>Phone number: +61240143923</w:t>
      </w:r>
    </w:p>
    <w:p w:rsidR="004C0F58" w:rsidRDefault="004C0F58" w:rsidP="004C0F58">
      <w:r>
        <w:t>Track Name: Track 13: Clinical Operations and Allied Services</w:t>
      </w:r>
    </w:p>
    <w:p w:rsidR="004C0F58" w:rsidRPr="005274BE" w:rsidRDefault="004C0F58" w:rsidP="004C0F58">
      <w:r>
        <w:t>Type of Presentation: Invited/Plenary</w:t>
      </w:r>
    </w:p>
    <w:sectPr w:rsidR="004C0F58" w:rsidRPr="005274BE" w:rsidSect="005274BE">
      <w:pgSz w:w="16838" w:h="11906" w:orient="landscape"/>
      <w:pgMar w:top="851" w:right="1440" w:bottom="709"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313B3"/>
    <w:multiLevelType w:val="hybridMultilevel"/>
    <w:tmpl w:val="EBD261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CategoryHeadingStyles" w:val="&lt;section-heading-styles&gt;&lt;category-title alignment=&quot;1&quot;&gt;&lt;/category-title&gt;&lt;category-heading bold=&quot;1&quot;&gt;&lt;/category-heading&gt;&lt;/section-heading-styles&gt;"/>
    <w:docVar w:name="EN.DefaultReferenceGroups" w:val="&lt;reference-groups&gt;&lt;reference-group&gt;&lt;kind&gt;1&lt;/kind&gt;&lt;heading&gt;Publications&lt;/heading&gt;&lt;alignment&gt;0&lt;/alignment&gt;&lt;records&gt;&lt;record&gt;&lt;key app=&quot;EN&quot; db-id=&quot;pwdvfww0asrtfkevszlpvf0nr250pp2dr9a2&quot; timestamp=&quot;1484178146&quot;&gt;3072&lt;/key&gt;&lt;/record&gt;&lt;record&gt;&lt;key app=&quot;EN&quot; db-id=&quot;pwdvfww0asrtfkevszlpvf0nr250pp2dr9a2&quot; timestamp=&quot;1441942055&quot;&gt;147&lt;/key&gt;&lt;/record&gt;&lt;record&gt;&lt;key app=&quot;EN&quot; db-id=&quot;pwdvfww0asrtfkevszlpvf0nr250pp2dr9a2&quot; timestamp=&quot;1502939281&quot;&gt;3283&lt;/key&gt;&lt;/record&gt;&lt;record&gt;&lt;key app=&quot;EN&quot; db-id=&quot;pwdvfww0asrtfkevszlpvf0nr250pp2dr9a2&quot; timestamp=&quot;1467357027&quot;&gt;2814&lt;/key&gt;&lt;/record&gt;&lt;record&gt;&lt;key app=&quot;EN&quot; db-id=&quot;pwdvfww0asrtfkevszlpvf0nr250pp2dr9a2&quot; timestamp=&quot;1482199090&quot;&gt;2929&lt;/key&gt;&lt;/record&gt;&lt;record&gt;&lt;key app=&quot;EN&quot; db-id=&quot;pwdvfww0asrtfkevszlpvf0nr250pp2dr9a2&quot; timestamp=&quot;1482198907&quot;&gt;2928&lt;/key&gt;&lt;/record&gt;&lt;record&gt;&lt;key app=&quot;EN&quot; db-id=&quot;pwdvfww0asrtfkevszlpvf0nr250pp2dr9a2&quot; timestamp=&quot;1488757873&quot;&gt;3142&lt;/key&gt;&lt;/record&gt;&lt;/records&gt;&lt;/reference-group&gt;&lt;reference-group&gt;&lt;kind&gt;1&lt;/kind&gt;&lt;heading&gt;&amp;#xD;Manuscripts under review&lt;/heading&gt;&lt;alignment&gt;0&lt;/alignment&gt;&lt;records&gt;&lt;/records&gt;&lt;/reference-group&gt;&lt;reference-group&gt;&lt;kind&gt;1&lt;/kind&gt;&lt;heading&gt;&amp;#xD;Manuscripts in Progress&lt;/heading&gt;&lt;alignment&gt;0&lt;/alignment&gt;&lt;records&gt;&lt;/records&gt;&lt;/reference-group&gt;&lt;reference-group&gt;&lt;kind&gt;1&lt;/kind&gt;&lt;heading&gt;&amp;#xD;Conference Presentations&lt;/heading&gt;&lt;alignment&gt;0&lt;/alignment&gt;&lt;records&gt;&lt;/records&gt;&lt;/reference-group&gt;&lt;reference-group&gt;&lt;kind&gt;1&lt;/kind&gt;&lt;heading&gt;&amp;#xD;Posters&lt;/heading&gt;&lt;alignment&gt;0&lt;/alignment&gt;&lt;records&gt;&lt;/records&gt;&lt;/reference-group&gt;&lt;/reference-groups&gt;"/>
    <w:docVar w:name="EN.InstantFormat" w:val="&lt;ENInstantFormat&gt;&lt;Enabled&gt;1&lt;/Enabled&gt;&lt;ScanUnformatted&gt;1&lt;/ScanUnformatted&gt;&lt;ScanChanges&gt;1&lt;/ScanChanges&gt;&lt;Suspended&gt;0&lt;/Suspended&gt;&lt;/ENInstantFormat&gt;"/>
    <w:docVar w:name="EN.Layout" w:val="&lt;ENLayout&gt;&lt;Style&gt;APA 6th CV&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wdvfww0asrtfkevszlpvf0nr250pp2dr9a2&quot;&gt;CM Engage&lt;record-ids&gt;&lt;item&gt;147&lt;/item&gt;&lt;item&gt;2814&lt;/item&gt;&lt;item&gt;2928&lt;/item&gt;&lt;item&gt;2929&lt;/item&gt;&lt;item&gt;3072&lt;/item&gt;&lt;item&gt;3142&lt;/item&gt;&lt;item&gt;3283&lt;/item&gt;&lt;/record-ids&gt;&lt;/item&gt;&lt;/Libraries&gt;"/>
  </w:docVars>
  <w:rsids>
    <w:rsidRoot w:val="00D36BDD"/>
    <w:rsid w:val="0019349B"/>
    <w:rsid w:val="0022670D"/>
    <w:rsid w:val="0031254A"/>
    <w:rsid w:val="003F1B93"/>
    <w:rsid w:val="0048349F"/>
    <w:rsid w:val="004872A7"/>
    <w:rsid w:val="004C0F58"/>
    <w:rsid w:val="005274BE"/>
    <w:rsid w:val="0061670A"/>
    <w:rsid w:val="00667ADB"/>
    <w:rsid w:val="006B633B"/>
    <w:rsid w:val="006C34C1"/>
    <w:rsid w:val="007A25F7"/>
    <w:rsid w:val="00834208"/>
    <w:rsid w:val="0086013E"/>
    <w:rsid w:val="009C31E8"/>
    <w:rsid w:val="00A54E12"/>
    <w:rsid w:val="00B42025"/>
    <w:rsid w:val="00B57D15"/>
    <w:rsid w:val="00BF17A2"/>
    <w:rsid w:val="00C43ED5"/>
    <w:rsid w:val="00D10910"/>
    <w:rsid w:val="00D36BDD"/>
    <w:rsid w:val="00E350E1"/>
    <w:rsid w:val="00E40C9E"/>
    <w:rsid w:val="00F160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B40F0"/>
  <w15:docId w15:val="{F54FC487-36AB-47E4-989A-80D36C9CB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7A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F17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1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1E8"/>
    <w:rPr>
      <w:rFonts w:ascii="Segoe UI" w:hAnsi="Segoe UI" w:cs="Segoe UI"/>
      <w:sz w:val="18"/>
      <w:szCs w:val="18"/>
    </w:rPr>
  </w:style>
  <w:style w:type="character" w:customStyle="1" w:styleId="Heading1Char">
    <w:name w:val="Heading 1 Char"/>
    <w:basedOn w:val="DefaultParagraphFont"/>
    <w:link w:val="Heading1"/>
    <w:uiPriority w:val="9"/>
    <w:rsid w:val="00BF17A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F17A2"/>
    <w:rPr>
      <w:rFonts w:asciiTheme="majorHAnsi" w:eastAsiaTheme="majorEastAsia" w:hAnsiTheme="majorHAnsi" w:cstheme="majorBidi"/>
      <w:color w:val="365F91" w:themeColor="accent1" w:themeShade="BF"/>
      <w:sz w:val="26"/>
      <w:szCs w:val="26"/>
    </w:rPr>
  </w:style>
  <w:style w:type="paragraph" w:customStyle="1" w:styleId="EndNoteBibliographyTitle">
    <w:name w:val="EndNote Bibliography Title"/>
    <w:basedOn w:val="Normal"/>
    <w:link w:val="EndNoteBibliographyTitleChar"/>
    <w:rsid w:val="00BF17A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F17A2"/>
    <w:rPr>
      <w:rFonts w:ascii="Calibri" w:hAnsi="Calibri" w:cs="Calibri"/>
      <w:noProof/>
      <w:lang w:val="en-US"/>
    </w:rPr>
  </w:style>
  <w:style w:type="paragraph" w:customStyle="1" w:styleId="EndNoteBibliography">
    <w:name w:val="EndNote Bibliography"/>
    <w:basedOn w:val="Normal"/>
    <w:link w:val="EndNoteBibliographyChar"/>
    <w:rsid w:val="00BF17A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F17A2"/>
    <w:rPr>
      <w:rFonts w:ascii="Calibri" w:hAnsi="Calibri" w:cs="Calibri"/>
      <w:noProof/>
      <w:lang w:val="en-US"/>
    </w:rPr>
  </w:style>
  <w:style w:type="character" w:styleId="Hyperlink">
    <w:name w:val="Hyperlink"/>
    <w:basedOn w:val="DefaultParagraphFont"/>
    <w:uiPriority w:val="99"/>
    <w:unhideWhenUsed/>
    <w:rsid w:val="00BF17A2"/>
    <w:rPr>
      <w:color w:val="0000FF" w:themeColor="hyperlink"/>
      <w:u w:val="single"/>
    </w:rPr>
  </w:style>
  <w:style w:type="character" w:styleId="UnresolvedMention">
    <w:name w:val="Unresolved Mention"/>
    <w:basedOn w:val="DefaultParagraphFont"/>
    <w:uiPriority w:val="99"/>
    <w:semiHidden/>
    <w:unhideWhenUsed/>
    <w:rsid w:val="00BF17A2"/>
    <w:rPr>
      <w:color w:val="808080"/>
      <w:shd w:val="clear" w:color="auto" w:fill="E6E6E6"/>
    </w:rPr>
  </w:style>
  <w:style w:type="paragraph" w:customStyle="1" w:styleId="EndNoteCategoryHeading">
    <w:name w:val="EndNote Category Heading"/>
    <w:basedOn w:val="Normal"/>
    <w:link w:val="EndNoteCategoryHeadingChar"/>
    <w:rsid w:val="00BF17A2"/>
    <w:pPr>
      <w:spacing w:before="120" w:after="120"/>
    </w:pPr>
  </w:style>
  <w:style w:type="character" w:customStyle="1" w:styleId="EndNoteCategoryHeadingChar">
    <w:name w:val="EndNote Category Heading Char"/>
    <w:basedOn w:val="DefaultParagraphFont"/>
    <w:link w:val="EndNoteCategoryHeading"/>
    <w:rsid w:val="00BF17A2"/>
  </w:style>
  <w:style w:type="paragraph" w:customStyle="1" w:styleId="EndNoteCategoryTitle">
    <w:name w:val="EndNote Category Title"/>
    <w:basedOn w:val="Normal"/>
    <w:link w:val="EndNoteCategoryTitleChar"/>
    <w:rsid w:val="00BF17A2"/>
    <w:pPr>
      <w:spacing w:before="120" w:after="120"/>
      <w:jc w:val="center"/>
    </w:pPr>
  </w:style>
  <w:style w:type="character" w:customStyle="1" w:styleId="EndNoteCategoryTitleChar">
    <w:name w:val="EndNote Category Title Char"/>
    <w:basedOn w:val="DefaultParagraphFont"/>
    <w:link w:val="EndNoteCategoryTitle"/>
    <w:rsid w:val="00BF17A2"/>
  </w:style>
  <w:style w:type="paragraph" w:styleId="Subtitle">
    <w:name w:val="Subtitle"/>
    <w:basedOn w:val="Normal"/>
    <w:next w:val="Normal"/>
    <w:link w:val="SubtitleChar"/>
    <w:uiPriority w:val="11"/>
    <w:qFormat/>
    <w:rsid w:val="005274BE"/>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274BE"/>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dx.doi.org/10.1016/j.psychres.2017.06.02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Calvary Mater Newcastle</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Hanlon, Mary-Claire</dc:creator>
  <cp:lastModifiedBy>Mary-Claire Hanlon</cp:lastModifiedBy>
  <cp:revision>4</cp:revision>
  <dcterms:created xsi:type="dcterms:W3CDTF">2017-10-27T02:58:00Z</dcterms:created>
  <dcterms:modified xsi:type="dcterms:W3CDTF">2017-10-27T03:24:00Z</dcterms:modified>
</cp:coreProperties>
</file>