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B6" w:rsidRDefault="00F962B6" w:rsidP="00F962B6">
      <w:pPr>
        <w:spacing w:line="480" w:lineRule="auto"/>
        <w:jc w:val="both"/>
        <w:rPr>
          <w:rFonts w:asciiTheme="majorBidi" w:hAnsiTheme="majorBidi" w:cstheme="majorBidi"/>
          <w:b/>
          <w:sz w:val="28"/>
          <w:szCs w:val="28"/>
        </w:rPr>
      </w:pPr>
      <w:r w:rsidRPr="00981C16">
        <w:rPr>
          <w:rFonts w:asciiTheme="majorBidi" w:hAnsiTheme="majorBidi" w:cstheme="majorBidi"/>
          <w:b/>
          <w:sz w:val="28"/>
          <w:szCs w:val="28"/>
        </w:rPr>
        <w:t xml:space="preserve">Adolescent </w:t>
      </w:r>
      <w:r>
        <w:rPr>
          <w:rFonts w:asciiTheme="majorBidi" w:hAnsiTheme="majorBidi" w:cstheme="majorBidi"/>
          <w:b/>
          <w:sz w:val="28"/>
          <w:szCs w:val="28"/>
        </w:rPr>
        <w:t>obesity and a</w:t>
      </w:r>
      <w:r w:rsidRPr="00981C16">
        <w:rPr>
          <w:rFonts w:asciiTheme="majorBidi" w:hAnsiTheme="majorBidi" w:cstheme="majorBidi"/>
          <w:b/>
          <w:sz w:val="28"/>
          <w:szCs w:val="28"/>
        </w:rPr>
        <w:t xml:space="preserve">dult </w:t>
      </w:r>
      <w:r>
        <w:rPr>
          <w:rFonts w:asciiTheme="majorBidi" w:hAnsiTheme="majorBidi" w:cstheme="majorBidi"/>
          <w:b/>
          <w:sz w:val="28"/>
          <w:szCs w:val="28"/>
        </w:rPr>
        <w:t xml:space="preserve">male breast cancer </w:t>
      </w:r>
      <w:r w:rsidRPr="00981C16">
        <w:rPr>
          <w:rFonts w:asciiTheme="majorBidi" w:hAnsiTheme="majorBidi" w:cstheme="majorBidi"/>
          <w:b/>
          <w:sz w:val="28"/>
          <w:szCs w:val="28"/>
        </w:rPr>
        <w:t xml:space="preserve">in a </w:t>
      </w:r>
      <w:r>
        <w:rPr>
          <w:rFonts w:asciiTheme="majorBidi" w:hAnsiTheme="majorBidi" w:cstheme="majorBidi"/>
          <w:b/>
          <w:sz w:val="28"/>
          <w:szCs w:val="28"/>
        </w:rPr>
        <w:t>c</w:t>
      </w:r>
      <w:r w:rsidRPr="00981C16">
        <w:rPr>
          <w:rFonts w:asciiTheme="majorBidi" w:hAnsiTheme="majorBidi" w:cstheme="majorBidi"/>
          <w:b/>
          <w:sz w:val="28"/>
          <w:szCs w:val="28"/>
        </w:rPr>
        <w:t xml:space="preserve">ohort of 1,382,093 </w:t>
      </w:r>
      <w:r>
        <w:rPr>
          <w:rFonts w:asciiTheme="majorBidi" w:hAnsiTheme="majorBidi" w:cstheme="majorBidi"/>
          <w:b/>
          <w:sz w:val="28"/>
          <w:szCs w:val="28"/>
        </w:rPr>
        <w:t>m</w:t>
      </w:r>
      <w:r w:rsidRPr="00981C16">
        <w:rPr>
          <w:rFonts w:asciiTheme="majorBidi" w:hAnsiTheme="majorBidi" w:cstheme="majorBidi"/>
          <w:b/>
          <w:sz w:val="28"/>
          <w:szCs w:val="28"/>
        </w:rPr>
        <w:t>en</w:t>
      </w:r>
    </w:p>
    <w:p w:rsidR="00F962B6" w:rsidRPr="00981C16" w:rsidRDefault="00F962B6" w:rsidP="00F962B6">
      <w:pPr>
        <w:spacing w:line="480" w:lineRule="auto"/>
        <w:jc w:val="both"/>
        <w:rPr>
          <w:rFonts w:asciiTheme="majorBidi" w:hAnsiTheme="majorBidi" w:cstheme="majorBidi"/>
        </w:rPr>
      </w:pPr>
      <w:r w:rsidRPr="00981C16">
        <w:rPr>
          <w:rFonts w:asciiTheme="majorBidi" w:hAnsiTheme="majorBidi" w:cstheme="majorBidi"/>
        </w:rPr>
        <w:t>Lital Keinan-Boker</w:t>
      </w:r>
      <w:r w:rsidRPr="00981C16">
        <w:rPr>
          <w:rFonts w:asciiTheme="majorBidi" w:hAnsiTheme="majorBidi" w:cstheme="majorBidi"/>
          <w:vertAlign w:val="superscript"/>
        </w:rPr>
        <w:t>1</w:t>
      </w:r>
      <w:proofErr w:type="gramStart"/>
      <w:r w:rsidRPr="00981C16">
        <w:rPr>
          <w:rFonts w:asciiTheme="majorBidi" w:hAnsiTheme="majorBidi" w:cstheme="majorBidi"/>
          <w:vertAlign w:val="superscript"/>
        </w:rPr>
        <w:t>,2</w:t>
      </w:r>
      <w:proofErr w:type="gramEnd"/>
      <w:r w:rsidRPr="00981C16">
        <w:rPr>
          <w:rFonts w:asciiTheme="majorBidi" w:hAnsiTheme="majorBidi" w:cstheme="majorBidi"/>
        </w:rPr>
        <w:t>, Hagai Levine</w:t>
      </w:r>
      <w:r w:rsidRPr="00981C16">
        <w:rPr>
          <w:rFonts w:asciiTheme="majorBidi" w:hAnsiTheme="majorBidi" w:cstheme="majorBidi"/>
          <w:vertAlign w:val="superscript"/>
        </w:rPr>
        <w:t>3</w:t>
      </w:r>
      <w:r w:rsidRPr="00981C16">
        <w:rPr>
          <w:rFonts w:asciiTheme="majorBidi" w:hAnsiTheme="majorBidi" w:cstheme="majorBidi"/>
        </w:rPr>
        <w:t xml:space="preserve">, </w:t>
      </w:r>
      <w:proofErr w:type="spellStart"/>
      <w:r w:rsidRPr="00981C16">
        <w:rPr>
          <w:rFonts w:asciiTheme="majorBidi" w:hAnsiTheme="majorBidi" w:cstheme="majorBidi"/>
        </w:rPr>
        <w:t>Adi</w:t>
      </w:r>
      <w:proofErr w:type="spellEnd"/>
      <w:r w:rsidRPr="00981C16">
        <w:rPr>
          <w:rFonts w:asciiTheme="majorBidi" w:hAnsiTheme="majorBidi" w:cstheme="majorBidi"/>
        </w:rPr>
        <w:t xml:space="preserve"> Leiba</w:t>
      </w:r>
      <w:r w:rsidRPr="00981C16">
        <w:rPr>
          <w:rFonts w:asciiTheme="majorBidi" w:hAnsiTheme="majorBidi" w:cstheme="majorBidi"/>
          <w:vertAlign w:val="superscript"/>
        </w:rPr>
        <w:t>4</w:t>
      </w:r>
      <w:r>
        <w:rPr>
          <w:rFonts w:asciiTheme="majorBidi" w:hAnsiTheme="majorBidi" w:cstheme="majorBidi"/>
          <w:vertAlign w:val="superscript"/>
        </w:rPr>
        <w:t>,5,6</w:t>
      </w:r>
      <w:r w:rsidRPr="00981C16">
        <w:rPr>
          <w:rFonts w:asciiTheme="majorBidi" w:hAnsiTheme="majorBidi" w:cstheme="majorBidi"/>
        </w:rPr>
        <w:t>, Estela Derazne</w:t>
      </w:r>
      <w:r w:rsidRPr="00981C16">
        <w:rPr>
          <w:rFonts w:asciiTheme="majorBidi" w:hAnsiTheme="majorBidi" w:cstheme="majorBidi"/>
          <w:vertAlign w:val="superscript"/>
        </w:rPr>
        <w:t>4,5</w:t>
      </w:r>
      <w:r w:rsidRPr="00981C16">
        <w:rPr>
          <w:rFonts w:asciiTheme="majorBidi" w:hAnsiTheme="majorBidi" w:cstheme="majorBidi"/>
        </w:rPr>
        <w:t>, Jeremy D. Kark</w:t>
      </w:r>
      <w:r w:rsidRPr="00981C16">
        <w:rPr>
          <w:rFonts w:asciiTheme="majorBidi" w:hAnsiTheme="majorBidi" w:cstheme="majorBidi"/>
          <w:vertAlign w:val="superscript"/>
        </w:rPr>
        <w:t>3</w:t>
      </w:r>
    </w:p>
    <w:p w:rsidR="00F962B6" w:rsidRPr="000F3CC0" w:rsidRDefault="00F962B6" w:rsidP="00F962B6">
      <w:pPr>
        <w:pStyle w:val="a3"/>
        <w:bidi w:val="0"/>
        <w:spacing w:after="0" w:line="360" w:lineRule="auto"/>
        <w:ind w:left="0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0F3CC0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0F3CC0">
        <w:rPr>
          <w:rFonts w:asciiTheme="majorBidi" w:hAnsiTheme="majorBidi" w:cstheme="majorBidi"/>
          <w:sz w:val="20"/>
          <w:szCs w:val="20"/>
        </w:rPr>
        <w:t xml:space="preserve">Israel National Cancer Registry, Israel Center for Disease Control, Ministry of Health, </w:t>
      </w:r>
      <w:proofErr w:type="spellStart"/>
      <w:r w:rsidRPr="000F3CC0">
        <w:rPr>
          <w:rFonts w:asciiTheme="majorBidi" w:hAnsiTheme="majorBidi" w:cstheme="majorBidi"/>
          <w:sz w:val="20"/>
          <w:szCs w:val="20"/>
        </w:rPr>
        <w:t>Gertner</w:t>
      </w:r>
      <w:proofErr w:type="spellEnd"/>
      <w:r w:rsidRPr="000F3CC0">
        <w:rPr>
          <w:rFonts w:asciiTheme="majorBidi" w:hAnsiTheme="majorBidi" w:cstheme="majorBidi"/>
          <w:sz w:val="20"/>
          <w:szCs w:val="20"/>
        </w:rPr>
        <w:t xml:space="preserve"> Institute, Sheba medical Center, Ramat-</w:t>
      </w:r>
      <w:proofErr w:type="spellStart"/>
      <w:r w:rsidRPr="000F3CC0">
        <w:rPr>
          <w:rFonts w:asciiTheme="majorBidi" w:hAnsiTheme="majorBidi" w:cstheme="majorBidi"/>
          <w:sz w:val="20"/>
          <w:szCs w:val="20"/>
        </w:rPr>
        <w:t>Gan</w:t>
      </w:r>
      <w:proofErr w:type="spellEnd"/>
      <w:r w:rsidRPr="000F3CC0">
        <w:rPr>
          <w:rFonts w:asciiTheme="majorBidi" w:hAnsiTheme="majorBidi" w:cstheme="majorBidi"/>
          <w:sz w:val="20"/>
          <w:szCs w:val="20"/>
        </w:rPr>
        <w:t xml:space="preserve"> 52621, Israel; </w:t>
      </w:r>
      <w:r w:rsidRPr="000F3CC0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0F3CC0">
        <w:rPr>
          <w:rFonts w:asciiTheme="majorBidi" w:hAnsiTheme="majorBidi" w:cstheme="majorBidi"/>
          <w:sz w:val="20"/>
          <w:szCs w:val="20"/>
        </w:rPr>
        <w:t xml:space="preserve">School of Public Health, University of Haifa, Abba </w:t>
      </w:r>
      <w:proofErr w:type="spellStart"/>
      <w:r w:rsidRPr="000F3CC0">
        <w:rPr>
          <w:rFonts w:asciiTheme="majorBidi" w:hAnsiTheme="majorBidi" w:cstheme="majorBidi"/>
          <w:sz w:val="20"/>
          <w:szCs w:val="20"/>
        </w:rPr>
        <w:t>Hushy</w:t>
      </w:r>
      <w:proofErr w:type="spellEnd"/>
      <w:r w:rsidRPr="000F3CC0">
        <w:rPr>
          <w:rFonts w:asciiTheme="majorBidi" w:hAnsiTheme="majorBidi" w:cstheme="majorBidi"/>
          <w:sz w:val="20"/>
          <w:szCs w:val="20"/>
        </w:rPr>
        <w:t xml:space="preserve"> Blvd., Haifa 31905, Israel; </w:t>
      </w:r>
      <w:r w:rsidRPr="000F3CC0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0F3CC0">
        <w:rPr>
          <w:rFonts w:asciiTheme="majorBidi" w:hAnsiTheme="majorBidi" w:cstheme="majorBidi"/>
          <w:sz w:val="20"/>
          <w:szCs w:val="20"/>
        </w:rPr>
        <w:t xml:space="preserve">Hebrew University-Hadassah School of Public Health &amp; Community Medicine, </w:t>
      </w:r>
      <w:proofErr w:type="spellStart"/>
      <w:r w:rsidRPr="000F3CC0">
        <w:rPr>
          <w:rFonts w:asciiTheme="majorBidi" w:hAnsiTheme="majorBidi" w:cstheme="majorBidi"/>
          <w:sz w:val="20"/>
          <w:szCs w:val="20"/>
        </w:rPr>
        <w:t>Ein</w:t>
      </w:r>
      <w:proofErr w:type="spellEnd"/>
      <w:r w:rsidRPr="000F3CC0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F3CC0">
        <w:rPr>
          <w:rFonts w:asciiTheme="majorBidi" w:hAnsiTheme="majorBidi" w:cstheme="majorBidi"/>
          <w:sz w:val="20"/>
          <w:szCs w:val="20"/>
        </w:rPr>
        <w:t>Kerem</w:t>
      </w:r>
      <w:proofErr w:type="spellEnd"/>
      <w:r w:rsidRPr="000F3CC0">
        <w:rPr>
          <w:rFonts w:asciiTheme="majorBidi" w:hAnsiTheme="majorBidi" w:cstheme="majorBidi"/>
          <w:sz w:val="20"/>
          <w:szCs w:val="20"/>
        </w:rPr>
        <w:t xml:space="preserve">, Jerusalem, Israel; </w:t>
      </w:r>
      <w:r w:rsidRPr="000F3CC0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0F3CC0">
        <w:rPr>
          <w:rFonts w:asciiTheme="majorBidi" w:hAnsiTheme="majorBidi" w:cstheme="majorBidi"/>
          <w:sz w:val="20"/>
          <w:szCs w:val="20"/>
        </w:rPr>
        <w:t xml:space="preserve">Surgeon General Headquarters, Medical Corps, Israeli Defense Forces, Israel; </w:t>
      </w:r>
      <w:r w:rsidRPr="000F3CC0">
        <w:rPr>
          <w:rFonts w:asciiTheme="majorBidi" w:hAnsiTheme="majorBidi" w:cstheme="majorBidi"/>
          <w:sz w:val="20"/>
          <w:szCs w:val="20"/>
          <w:vertAlign w:val="superscript"/>
        </w:rPr>
        <w:t>5</w:t>
      </w:r>
      <w:r w:rsidRPr="000F3CC0">
        <w:rPr>
          <w:rFonts w:asciiTheme="majorBidi" w:hAnsiTheme="majorBidi" w:cstheme="majorBidi"/>
          <w:sz w:val="20"/>
          <w:szCs w:val="20"/>
        </w:rPr>
        <w:t xml:space="preserve">Sackler School of Medicine, Tel Aviv University, Ramat Aviv, Tel Aviv, Israel; </w:t>
      </w:r>
      <w:r w:rsidRPr="000F3CC0">
        <w:rPr>
          <w:rFonts w:asciiTheme="majorBidi" w:hAnsiTheme="majorBidi" w:cstheme="majorBidi"/>
          <w:sz w:val="20"/>
          <w:szCs w:val="20"/>
          <w:vertAlign w:val="superscript"/>
        </w:rPr>
        <w:t>6</w:t>
      </w:r>
      <w:r w:rsidRPr="000F3CC0">
        <w:rPr>
          <w:rFonts w:asciiTheme="majorBidi" w:hAnsiTheme="majorBidi" w:cstheme="majorBidi"/>
          <w:sz w:val="20"/>
          <w:szCs w:val="20"/>
        </w:rPr>
        <w:t xml:space="preserve">Harvard Medical School, Cambridge, MA, USA </w:t>
      </w:r>
    </w:p>
    <w:p w:rsidR="00F962B6" w:rsidRDefault="00F962B6" w:rsidP="00F962B6">
      <w:pPr>
        <w:spacing w:line="480" w:lineRule="auto"/>
        <w:jc w:val="both"/>
        <w:rPr>
          <w:rFonts w:asciiTheme="majorBidi" w:hAnsiTheme="majorBidi" w:cstheme="majorBidi"/>
        </w:rPr>
      </w:pPr>
    </w:p>
    <w:p w:rsidR="00F962B6" w:rsidRPr="00981C16" w:rsidRDefault="00F962B6" w:rsidP="00F962B6">
      <w:pPr>
        <w:spacing w:line="480" w:lineRule="auto"/>
        <w:jc w:val="both"/>
        <w:rPr>
          <w:rFonts w:asciiTheme="majorBidi" w:hAnsiTheme="majorBidi" w:cstheme="majorBidi"/>
        </w:rPr>
      </w:pPr>
      <w:r w:rsidRPr="00981C16">
        <w:rPr>
          <w:rFonts w:asciiTheme="majorBidi" w:hAnsiTheme="majorBidi" w:cstheme="majorBidi"/>
        </w:rPr>
        <w:t>ABSTRACT</w:t>
      </w:r>
    </w:p>
    <w:p w:rsidR="00F962B6" w:rsidRPr="00981C16" w:rsidRDefault="00F962B6" w:rsidP="00F962B6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BACKGROUND - </w:t>
      </w:r>
      <w:r w:rsidRPr="00981C16">
        <w:rPr>
          <w:rFonts w:asciiTheme="majorBidi" w:hAnsiTheme="majorBidi" w:cstheme="majorBidi"/>
        </w:rPr>
        <w:t>Male breast cancer (MBC) accounts for 1% of all breast cancer</w:t>
      </w:r>
      <w:r w:rsidRPr="00981C16">
        <w:rPr>
          <w:rFonts w:asciiTheme="majorBidi" w:hAnsiTheme="majorBidi" w:cstheme="majorBidi"/>
          <w:b/>
          <w:bCs/>
        </w:rPr>
        <w:t>.</w:t>
      </w:r>
      <w:r w:rsidRPr="00981C16">
        <w:rPr>
          <w:rFonts w:asciiTheme="majorBidi" w:hAnsiTheme="majorBidi" w:cstheme="majorBidi"/>
        </w:rPr>
        <w:t xml:space="preserve"> Adult obesity and tallness are risk factors for MBC, but the role of adolescent </w:t>
      </w:r>
      <w:r>
        <w:rPr>
          <w:rFonts w:asciiTheme="majorBidi" w:hAnsiTheme="majorBidi" w:cstheme="majorBidi"/>
        </w:rPr>
        <w:t>fatness</w:t>
      </w:r>
      <w:r w:rsidRPr="00981C16">
        <w:rPr>
          <w:rFonts w:asciiTheme="majorBidi" w:hAnsiTheme="majorBidi" w:cstheme="majorBidi"/>
        </w:rPr>
        <w:t xml:space="preserve"> is largely unknown. We aimed to assess the association between body mass index (BMI) </w:t>
      </w:r>
      <w:r>
        <w:rPr>
          <w:rFonts w:asciiTheme="majorBidi" w:hAnsiTheme="majorBidi" w:cstheme="majorBidi"/>
        </w:rPr>
        <w:t>in</w:t>
      </w:r>
      <w:r w:rsidRPr="00981C16">
        <w:rPr>
          <w:rFonts w:asciiTheme="majorBidi" w:hAnsiTheme="majorBidi" w:cstheme="majorBidi"/>
        </w:rPr>
        <w:t xml:space="preserve"> adolescence and the incidence of MBC in a large cohort of 16-19 year-old Israeli males. </w:t>
      </w:r>
    </w:p>
    <w:p w:rsidR="00F962B6" w:rsidRPr="00981C16" w:rsidRDefault="00F962B6" w:rsidP="00F962B6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METHODS - </w:t>
      </w:r>
      <w:r w:rsidRPr="00981C16">
        <w:rPr>
          <w:rFonts w:asciiTheme="majorBidi" w:hAnsiTheme="majorBidi" w:cstheme="majorBidi"/>
        </w:rPr>
        <w:t xml:space="preserve">1,382,093 Jewish Israeli males aged 16-19 who underwent anthropometric measurements, a </w:t>
      </w:r>
      <w:r w:rsidRPr="00981C16">
        <w:rPr>
          <w:rFonts w:asciiTheme="majorBidi" w:hAnsiTheme="majorBidi" w:cstheme="majorBidi"/>
          <w:lang w:bidi="he-IL"/>
        </w:rPr>
        <w:t>General Intelligence Test (GIT) and other examinations</w:t>
      </w:r>
      <w:r w:rsidRPr="00981C16">
        <w:rPr>
          <w:rFonts w:asciiTheme="majorBidi" w:hAnsiTheme="majorBidi" w:cstheme="majorBidi"/>
        </w:rPr>
        <w:t xml:space="preserve"> during 1967-2011, were followed up to 31.12.2012 for MBC incidence. Cox proportional hazards models assessed the association between adolescent BMI (as WHO BMI categories and as age-specific CDC percentiles) and time to MBC diagnosis, adjusting for sociodemographic covariates. </w:t>
      </w:r>
    </w:p>
    <w:p w:rsidR="00F962B6" w:rsidRPr="00C91045" w:rsidRDefault="00F962B6" w:rsidP="00F962B6">
      <w:pPr>
        <w:spacing w:line="480" w:lineRule="auto"/>
        <w:jc w:val="both"/>
        <w:rPr>
          <w:rFonts w:asciiTheme="majorBidi" w:hAnsiTheme="majorBidi" w:cstheme="majorBidi"/>
          <w:color w:val="FF0000"/>
        </w:rPr>
      </w:pPr>
      <w:r>
        <w:rPr>
          <w:rFonts w:asciiTheme="majorBidi" w:hAnsiTheme="majorBidi" w:cstheme="majorBidi"/>
        </w:rPr>
        <w:t xml:space="preserve">RESULTS - </w:t>
      </w:r>
      <w:r w:rsidRPr="00981C16">
        <w:rPr>
          <w:rFonts w:asciiTheme="majorBidi" w:hAnsiTheme="majorBidi" w:cstheme="majorBidi"/>
        </w:rPr>
        <w:t>Of 100 MBC cases diagnosed during 29,386,233 person-years of follow-up, 97 were included in multivariable analyses. Compared to 'healthy' BMI (18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5-24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9kg/m</w:t>
      </w:r>
      <w:r w:rsidRPr="00981C16">
        <w:rPr>
          <w:rFonts w:asciiTheme="majorBidi" w:hAnsiTheme="majorBidi" w:cstheme="majorBidi"/>
          <w:vertAlign w:val="superscript"/>
        </w:rPr>
        <w:t>2</w:t>
      </w:r>
      <w:r w:rsidRPr="00981C16">
        <w:rPr>
          <w:rFonts w:asciiTheme="majorBidi" w:hAnsiTheme="majorBidi" w:cstheme="majorBidi"/>
        </w:rPr>
        <w:t xml:space="preserve">) and adjusted for year of birth, country of origin and </w:t>
      </w:r>
      <w:r w:rsidRPr="00981C16">
        <w:rPr>
          <w:rFonts w:asciiTheme="majorBidi" w:hAnsiTheme="majorBidi" w:cstheme="majorBidi"/>
          <w:lang w:bidi="he-IL"/>
        </w:rPr>
        <w:t>GIT score</w:t>
      </w:r>
      <w:r w:rsidRPr="00981C16">
        <w:rPr>
          <w:rFonts w:asciiTheme="majorBidi" w:hAnsiTheme="majorBidi" w:cstheme="majorBidi"/>
        </w:rPr>
        <w:t>, higher adolescent BMI was associated with higher MBC risk: hazard ratio (HR)=2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 xml:space="preserve">01 (95% </w:t>
      </w:r>
      <w:r w:rsidRPr="00981C16">
        <w:rPr>
          <w:rFonts w:asciiTheme="majorBidi" w:hAnsiTheme="majorBidi" w:cstheme="majorBidi"/>
        </w:rPr>
        <w:lastRenderedPageBreak/>
        <w:t>confidence interval [CI]1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14-3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55, p=0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015) in overweight (25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0≤BMI&lt;30</w:t>
      </w:r>
      <w:r>
        <w:rPr>
          <w:rFonts w:asciiTheme="majorBidi" w:hAnsiTheme="majorBidi" w:cstheme="majorBidi"/>
        </w:rPr>
        <w:t>.0</w:t>
      </w:r>
      <w:r w:rsidRPr="00981C16">
        <w:rPr>
          <w:rFonts w:asciiTheme="majorBidi" w:hAnsiTheme="majorBidi" w:cstheme="majorBidi"/>
        </w:rPr>
        <w:t>kg/m</w:t>
      </w:r>
      <w:r w:rsidRPr="00981C16">
        <w:rPr>
          <w:rFonts w:asciiTheme="majorBidi" w:hAnsiTheme="majorBidi" w:cstheme="majorBidi"/>
          <w:vertAlign w:val="superscript"/>
        </w:rPr>
        <w:t>2</w:t>
      </w:r>
      <w:r w:rsidRPr="00981C16">
        <w:rPr>
          <w:rFonts w:asciiTheme="majorBidi" w:hAnsiTheme="majorBidi" w:cstheme="majorBidi"/>
        </w:rPr>
        <w:t>) adolescents; and HR=4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97 (95%CI 2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14-11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53, p=0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</w:rPr>
        <w:t>0002) in obese (BMI≥30</w:t>
      </w:r>
      <w:r>
        <w:rPr>
          <w:rFonts w:asciiTheme="majorBidi" w:hAnsiTheme="majorBidi" w:cstheme="majorBidi"/>
        </w:rPr>
        <w:t>.0</w:t>
      </w:r>
      <w:r w:rsidRPr="00981C16">
        <w:rPr>
          <w:rFonts w:asciiTheme="majorBidi" w:hAnsiTheme="majorBidi" w:cstheme="majorBidi"/>
        </w:rPr>
        <w:t>kg/m</w:t>
      </w:r>
      <w:r w:rsidRPr="00981C16">
        <w:rPr>
          <w:rFonts w:asciiTheme="majorBidi" w:hAnsiTheme="majorBidi" w:cstheme="majorBidi"/>
          <w:vertAlign w:val="superscript"/>
        </w:rPr>
        <w:t>2</w:t>
      </w:r>
      <w:r w:rsidRPr="00981C16">
        <w:rPr>
          <w:rFonts w:asciiTheme="majorBidi" w:hAnsiTheme="majorBidi" w:cstheme="majorBidi"/>
        </w:rPr>
        <w:t xml:space="preserve">) adolescents. When CDC age-specific BMI percentiles were assessed results were similar and statistically significant for obesity. </w:t>
      </w:r>
      <w:r w:rsidRPr="00981C16">
        <w:rPr>
          <w:rFonts w:asciiTheme="majorBidi" w:hAnsiTheme="majorBidi" w:cstheme="majorBidi"/>
          <w:lang w:bidi="he-IL"/>
        </w:rPr>
        <w:t>Additionally, low (vs. high) GIT score (HR=4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>76, 95%CI 1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>96-12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>50, p=0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 xml:space="preserve">001) and European </w:t>
      </w:r>
      <w:r w:rsidRPr="00981C16">
        <w:rPr>
          <w:rFonts w:asciiTheme="majorBidi" w:hAnsiTheme="majorBidi" w:cstheme="majorBidi"/>
        </w:rPr>
        <w:t>(vs. west-Asian)</w:t>
      </w:r>
      <w:r w:rsidRPr="00981C16">
        <w:rPr>
          <w:rFonts w:asciiTheme="majorBidi" w:hAnsiTheme="majorBidi" w:cstheme="majorBidi"/>
          <w:lang w:bidi="he-IL"/>
        </w:rPr>
        <w:t xml:space="preserve"> origin (HR=1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>99, 95%CI 1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>19-3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>34, p=0</w:t>
      </w:r>
      <w:r>
        <w:rPr>
          <w:rFonts w:asciiTheme="majorBidi" w:hAnsiTheme="majorBidi" w:cstheme="majorBidi"/>
        </w:rPr>
        <w:t>.</w:t>
      </w:r>
      <w:r w:rsidRPr="00981C16">
        <w:rPr>
          <w:rFonts w:asciiTheme="majorBidi" w:hAnsiTheme="majorBidi" w:cstheme="majorBidi"/>
          <w:lang w:bidi="he-IL"/>
        </w:rPr>
        <w:t xml:space="preserve">009) were independent predictors of MBC. </w:t>
      </w:r>
    </w:p>
    <w:p w:rsidR="00F962B6" w:rsidRPr="00981C16" w:rsidRDefault="00F962B6" w:rsidP="00F962B6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CONCLUSIONS - </w:t>
      </w:r>
      <w:bookmarkStart w:id="0" w:name="_GoBack"/>
      <w:bookmarkEnd w:id="0"/>
      <w:r w:rsidRPr="00981C16">
        <w:rPr>
          <w:rFonts w:asciiTheme="majorBidi" w:hAnsiTheme="majorBidi" w:cstheme="majorBidi"/>
        </w:rPr>
        <w:t xml:space="preserve">Measured adolescent overweight and obesity are associated with increased risk of MBC, suggesting a modifiable risk factor potentially allowing for early intervention. The novel association with </w:t>
      </w:r>
      <w:r>
        <w:rPr>
          <w:rFonts w:asciiTheme="majorBidi" w:hAnsiTheme="majorBidi" w:cstheme="majorBidi"/>
        </w:rPr>
        <w:t>cognitive function</w:t>
      </w:r>
      <w:r w:rsidRPr="00981C16">
        <w:rPr>
          <w:rFonts w:asciiTheme="majorBidi" w:hAnsiTheme="majorBidi" w:cstheme="majorBidi"/>
        </w:rPr>
        <w:t xml:space="preserve"> should be further explored.</w:t>
      </w:r>
    </w:p>
    <w:p w:rsidR="006C181B" w:rsidRDefault="006C181B"/>
    <w:sectPr w:rsidR="006C181B" w:rsidSect="00FE49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B6"/>
    <w:rsid w:val="006C181B"/>
    <w:rsid w:val="00F962B6"/>
    <w:rsid w:val="00FE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B6"/>
    <w:pPr>
      <w:spacing w:after="0" w:line="240" w:lineRule="auto"/>
    </w:pPr>
    <w:rPr>
      <w:rFonts w:eastAsiaTheme="minorEastAsia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B6"/>
    <w:pPr>
      <w:bidi/>
      <w:spacing w:after="200" w:line="276" w:lineRule="auto"/>
      <w:ind w:left="720"/>
      <w:contextualSpacing/>
    </w:pPr>
    <w:rPr>
      <w:rFonts w:eastAsiaTheme="minorHAnsi"/>
      <w:sz w:val="22"/>
      <w:szCs w:val="22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B6"/>
    <w:pPr>
      <w:spacing w:after="0" w:line="240" w:lineRule="auto"/>
    </w:pPr>
    <w:rPr>
      <w:rFonts w:eastAsiaTheme="minorEastAsia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B6"/>
    <w:pPr>
      <w:bidi/>
      <w:spacing w:after="200" w:line="276" w:lineRule="auto"/>
      <w:ind w:left="720"/>
      <w:contextualSpacing/>
    </w:pPr>
    <w:rPr>
      <w:rFonts w:eastAsiaTheme="minorHAnsi"/>
      <w:sz w:val="22"/>
      <w:szCs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424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ליטל קינן בוקר</dc:creator>
  <cp:lastModifiedBy>ליטל קינן בוקר</cp:lastModifiedBy>
  <cp:revision>1</cp:revision>
  <dcterms:created xsi:type="dcterms:W3CDTF">2017-12-28T14:48:00Z</dcterms:created>
  <dcterms:modified xsi:type="dcterms:W3CDTF">2017-12-28T14:50:00Z</dcterms:modified>
</cp:coreProperties>
</file>