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9D" w:rsidRPr="0068359D" w:rsidRDefault="0068359D" w:rsidP="0068359D">
      <w:pPr>
        <w:shd w:val="clear" w:color="auto" w:fill="FFFFFF"/>
        <w:bidi w:val="0"/>
        <w:spacing w:before="90" w:after="90" w:line="27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</w:pPr>
      <w:bookmarkStart w:id="0" w:name="_GoBack"/>
      <w:bookmarkEnd w:id="0"/>
      <w:r w:rsidRPr="0068359D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 xml:space="preserve">The role of Topoisomerase II-α (TOPO IIA) as a predictive factor for response to </w:t>
      </w:r>
      <w:proofErr w:type="spellStart"/>
      <w:proofErr w:type="gramStart"/>
      <w:r w:rsidRPr="0068359D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>neoadjuvant</w:t>
      </w:r>
      <w:proofErr w:type="spellEnd"/>
      <w:r w:rsidRPr="0068359D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 xml:space="preserve">  </w:t>
      </w:r>
      <w:proofErr w:type="spellStart"/>
      <w:r w:rsidRPr="0068359D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>anthracyclines</w:t>
      </w:r>
      <w:proofErr w:type="spellEnd"/>
      <w:proofErr w:type="gramEnd"/>
      <w:r w:rsidRPr="0068359D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 xml:space="preserve"> based chemotherapy in locally advanced breast cancer.</w:t>
      </w: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rPr>
          <w:rFonts w:ascii="Arial" w:eastAsia="Times New Roman" w:hAnsi="Arial" w:cs="Arial"/>
          <w:color w:val="000000"/>
        </w:rPr>
      </w:pPr>
      <w:r w:rsidRPr="0068359D">
        <w:rPr>
          <w:rFonts w:ascii="Arial" w:eastAsia="Times New Roman" w:hAnsi="Arial" w:cs="Arial"/>
          <w:color w:val="000000"/>
          <w:sz w:val="19"/>
          <w:szCs w:val="19"/>
          <w:vertAlign w:val="superscript"/>
        </w:rPr>
        <w:t xml:space="preserve"> </w:t>
      </w:r>
      <w:r w:rsidRPr="0068359D">
        <w:rPr>
          <w:rFonts w:ascii="Arial" w:eastAsia="Times New Roman" w:hAnsi="Arial" w:cs="Arial"/>
          <w:color w:val="660066"/>
          <w:u w:val="single"/>
        </w:rPr>
        <w:t>Mohamed M.Gamea</w:t>
      </w:r>
      <w:r w:rsidRPr="0068359D">
        <w:rPr>
          <w:rFonts w:ascii="Arial" w:eastAsia="Times New Roman" w:hAnsi="Arial" w:cs="Arial"/>
          <w:color w:val="000000"/>
          <w:sz w:val="19"/>
          <w:szCs w:val="19"/>
          <w:vertAlign w:val="superscript"/>
        </w:rPr>
        <w:t>1</w:t>
      </w:r>
      <w:r w:rsidRPr="0068359D">
        <w:rPr>
          <w:rFonts w:ascii="Arial" w:eastAsia="Times New Roman" w:hAnsi="Arial" w:cs="Arial"/>
          <w:color w:val="000000"/>
        </w:rPr>
        <w:t xml:space="preserve">, </w:t>
      </w:r>
      <w:r w:rsidRPr="0068359D">
        <w:rPr>
          <w:rFonts w:ascii="Arial" w:eastAsia="Times New Roman" w:hAnsi="Arial" w:cs="Arial"/>
          <w:color w:val="660066"/>
          <w:u w:val="single"/>
        </w:rPr>
        <w:t>Ashraf F.Barakat</w:t>
      </w:r>
      <w:r w:rsidRPr="0068359D">
        <w:rPr>
          <w:rFonts w:ascii="Arial" w:eastAsia="Times New Roman" w:hAnsi="Arial" w:cs="Arial"/>
          <w:color w:val="660066"/>
          <w:u w:val="single"/>
          <w:vertAlign w:val="superscript"/>
        </w:rPr>
        <w:t>2</w:t>
      </w:r>
      <w:r w:rsidRPr="0068359D">
        <w:rPr>
          <w:rFonts w:ascii="Arial" w:eastAsia="Times New Roman" w:hAnsi="Arial" w:cs="Arial"/>
          <w:color w:val="000000"/>
        </w:rPr>
        <w:t>, </w:t>
      </w:r>
      <w:proofErr w:type="spellStart"/>
      <w:r w:rsidRPr="0068359D">
        <w:rPr>
          <w:rFonts w:ascii="Arial" w:eastAsia="Times New Roman" w:hAnsi="Arial" w:cs="Arial"/>
          <w:color w:val="660066"/>
          <w:u w:val="single"/>
        </w:rPr>
        <w:t>Fatma</w:t>
      </w:r>
      <w:proofErr w:type="spellEnd"/>
      <w:r w:rsidRPr="0068359D">
        <w:rPr>
          <w:rFonts w:ascii="Arial" w:eastAsia="Times New Roman" w:hAnsi="Arial" w:cs="Arial"/>
          <w:color w:val="660066"/>
          <w:u w:val="single"/>
        </w:rPr>
        <w:t xml:space="preserve"> Z.Hussein</w:t>
      </w:r>
      <w:r w:rsidRPr="0068359D">
        <w:rPr>
          <w:rFonts w:ascii="Arial" w:eastAsia="Times New Roman" w:hAnsi="Arial" w:cs="Arial"/>
          <w:color w:val="660066"/>
          <w:u w:val="single"/>
          <w:vertAlign w:val="superscript"/>
        </w:rPr>
        <w:t>3</w:t>
      </w:r>
      <w:r w:rsidRPr="0068359D">
        <w:rPr>
          <w:rFonts w:ascii="Arial" w:eastAsia="Times New Roman" w:hAnsi="Arial" w:cs="Arial"/>
          <w:color w:val="000000"/>
        </w:rPr>
        <w:t>.</w:t>
      </w: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rPr>
          <w:rFonts w:ascii="Arial" w:eastAsia="Times New Roman" w:hAnsi="Arial" w:cs="Arial"/>
          <w:color w:val="000000"/>
        </w:rPr>
      </w:pP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rPr>
          <w:rFonts w:ascii="Arial" w:eastAsia="Times New Roman" w:hAnsi="Arial" w:cs="Arial"/>
          <w:color w:val="000000"/>
        </w:rPr>
      </w:pPr>
      <w:r w:rsidRPr="0068359D">
        <w:rPr>
          <w:rFonts w:ascii="Arial" w:eastAsia="Times New Roman" w:hAnsi="Arial" w:cs="Arial"/>
          <w:color w:val="000000"/>
        </w:rPr>
        <w:t xml:space="preserve">1: Clinical Oncology </w:t>
      </w:r>
      <w:proofErr w:type="gramStart"/>
      <w:r w:rsidRPr="0068359D">
        <w:rPr>
          <w:rFonts w:ascii="Arial" w:eastAsia="Times New Roman" w:hAnsi="Arial" w:cs="Arial"/>
          <w:color w:val="000000"/>
        </w:rPr>
        <w:t>Department ,</w:t>
      </w:r>
      <w:proofErr w:type="gramEnd"/>
      <w:r w:rsidRPr="0068359D">
        <w:rPr>
          <w:rFonts w:ascii="Arial" w:eastAsia="Times New Roman" w:hAnsi="Arial" w:cs="Arial"/>
          <w:color w:val="000000"/>
        </w:rPr>
        <w:t xml:space="preserve"> Aswan University Hospital , Aswan , Egypt.</w:t>
      </w: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rPr>
          <w:rFonts w:ascii="Arial" w:eastAsia="Times New Roman" w:hAnsi="Arial" w:cs="Arial"/>
          <w:color w:val="000000"/>
        </w:rPr>
      </w:pPr>
      <w:r w:rsidRPr="0068359D">
        <w:rPr>
          <w:rFonts w:ascii="Arial" w:eastAsia="Times New Roman" w:hAnsi="Arial" w:cs="Arial"/>
          <w:color w:val="000000"/>
        </w:rPr>
        <w:t xml:space="preserve">    </w:t>
      </w:r>
      <w:proofErr w:type="gramStart"/>
      <w:r w:rsidRPr="0068359D">
        <w:rPr>
          <w:rFonts w:ascii="Arial" w:eastAsia="Times New Roman" w:hAnsi="Arial" w:cs="Arial"/>
          <w:color w:val="000000"/>
        </w:rPr>
        <w:t>Email :</w:t>
      </w:r>
      <w:proofErr w:type="gramEnd"/>
      <w:r w:rsidRPr="0068359D">
        <w:rPr>
          <w:rFonts w:ascii="Arial" w:eastAsia="Times New Roman" w:hAnsi="Arial" w:cs="Arial"/>
          <w:color w:val="000000"/>
        </w:rPr>
        <w:t xml:space="preserve"> </w:t>
      </w:r>
      <w:hyperlink r:id="rId9" w:history="1">
        <w:r w:rsidRPr="0068359D">
          <w:rPr>
            <w:rFonts w:ascii="Arial" w:eastAsia="Times New Roman" w:hAnsi="Arial" w:cs="Arial"/>
            <w:color w:val="0000FF"/>
            <w:u w:val="single"/>
          </w:rPr>
          <w:t>mohammed.game3@hotmail.com</w:t>
        </w:r>
      </w:hyperlink>
      <w:r w:rsidRPr="0068359D">
        <w:rPr>
          <w:rFonts w:ascii="Arial" w:eastAsia="Times New Roman" w:hAnsi="Arial" w:cs="Arial"/>
          <w:color w:val="000000"/>
        </w:rPr>
        <w:t xml:space="preserve"> . </w:t>
      </w:r>
      <w:proofErr w:type="gramStart"/>
      <w:r w:rsidRPr="0068359D">
        <w:rPr>
          <w:rFonts w:ascii="Arial" w:eastAsia="Times New Roman" w:hAnsi="Arial" w:cs="Arial"/>
          <w:color w:val="000000"/>
        </w:rPr>
        <w:t>Mobile :</w:t>
      </w:r>
      <w:proofErr w:type="gramEnd"/>
      <w:r w:rsidRPr="0068359D">
        <w:rPr>
          <w:rFonts w:ascii="Arial" w:eastAsia="Times New Roman" w:hAnsi="Arial" w:cs="Arial"/>
          <w:color w:val="000000"/>
        </w:rPr>
        <w:t xml:space="preserve"> +02( 01224764004)</w:t>
      </w: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rPr>
          <w:rFonts w:ascii="Arial" w:eastAsia="Times New Roman" w:hAnsi="Arial" w:cs="Arial"/>
          <w:color w:val="000000"/>
        </w:rPr>
      </w:pP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rPr>
          <w:rFonts w:ascii="Arial" w:eastAsia="Times New Roman" w:hAnsi="Arial" w:cs="Arial"/>
          <w:color w:val="000000"/>
        </w:rPr>
      </w:pPr>
      <w:r w:rsidRPr="0068359D">
        <w:rPr>
          <w:rFonts w:ascii="Arial" w:eastAsia="Times New Roman" w:hAnsi="Arial" w:cs="Arial"/>
          <w:color w:val="000000"/>
        </w:rPr>
        <w:t>2</w:t>
      </w:r>
      <w:proofErr w:type="gramStart"/>
      <w:r w:rsidRPr="0068359D">
        <w:rPr>
          <w:rFonts w:ascii="Arial" w:eastAsia="Times New Roman" w:hAnsi="Arial" w:cs="Arial"/>
          <w:color w:val="000000"/>
        </w:rPr>
        <w:t>,3</w:t>
      </w:r>
      <w:proofErr w:type="gramEnd"/>
      <w:r w:rsidRPr="0068359D">
        <w:rPr>
          <w:rFonts w:ascii="Arial" w:eastAsia="Times New Roman" w:hAnsi="Arial" w:cs="Arial"/>
          <w:color w:val="000000"/>
        </w:rPr>
        <w:t xml:space="preserve"> : Clinical Oncology Department , Tanta University Hospital , Tanta, Egypt.</w:t>
      </w: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outlineLvl w:val="2"/>
        <w:rPr>
          <w:rFonts w:ascii="Arial" w:eastAsia="Times New Roman" w:hAnsi="Arial" w:cs="Arial"/>
          <w:b/>
          <w:bCs/>
          <w:color w:val="724128"/>
        </w:rPr>
      </w:pP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outlineLvl w:val="2"/>
        <w:rPr>
          <w:rFonts w:ascii="Arial" w:eastAsia="Times New Roman" w:hAnsi="Arial" w:cs="Arial"/>
          <w:b/>
          <w:bCs/>
          <w:color w:val="985735"/>
        </w:rPr>
      </w:pPr>
      <w:r w:rsidRPr="0068359D">
        <w:rPr>
          <w:rFonts w:ascii="Arial" w:eastAsia="Times New Roman" w:hAnsi="Arial" w:cs="Arial"/>
          <w:b/>
          <w:bCs/>
          <w:color w:val="985735"/>
        </w:rPr>
        <w:t>Abstract</w:t>
      </w:r>
    </w:p>
    <w:p w:rsidR="0068359D" w:rsidRPr="0068359D" w:rsidRDefault="0068359D" w:rsidP="0068359D">
      <w:pPr>
        <w:shd w:val="clear" w:color="auto" w:fill="FFFFFF"/>
        <w:bidi w:val="0"/>
        <w:spacing w:after="0" w:line="240" w:lineRule="auto"/>
        <w:outlineLvl w:val="2"/>
        <w:rPr>
          <w:rFonts w:ascii="Arial" w:eastAsia="Times New Roman" w:hAnsi="Arial" w:cs="Arial"/>
          <w:b/>
          <w:bCs/>
          <w:color w:val="985735"/>
        </w:rPr>
      </w:pPr>
    </w:p>
    <w:p w:rsidR="0068359D" w:rsidRPr="0068359D" w:rsidRDefault="0068359D" w:rsidP="0068359D">
      <w:pPr>
        <w:shd w:val="clear" w:color="auto" w:fill="FFFFFF"/>
        <w:bidi w:val="0"/>
        <w:spacing w:after="0" w:line="270" w:lineRule="atLeast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BACKGROUND:</w:t>
      </w:r>
    </w:p>
    <w:p w:rsidR="0068359D" w:rsidRPr="0068359D" w:rsidRDefault="0068359D" w:rsidP="0068359D">
      <w:pPr>
        <w:shd w:val="clear" w:color="auto" w:fill="FFFFFF"/>
        <w:bidi w:val="0"/>
        <w:spacing w:after="120" w:line="27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Topoisomerase II-α is a molecular target of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anthracyclines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; several studies have suggested that topoisomerase II-α expression is related to response to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anthracycline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treatment. The objective of this study was to evaluate if topoisomerase II-α overexpression predicts response to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anthracycline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treatment in locally advanced breast cancer patients.</w:t>
      </w:r>
    </w:p>
    <w:p w:rsidR="0068359D" w:rsidRPr="0068359D" w:rsidRDefault="0068359D" w:rsidP="0068359D">
      <w:pPr>
        <w:shd w:val="clear" w:color="auto" w:fill="FFFFFF"/>
        <w:bidi w:val="0"/>
        <w:spacing w:after="120" w:line="270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68359D" w:rsidRPr="0068359D" w:rsidRDefault="0068359D" w:rsidP="0068359D">
      <w:pPr>
        <w:shd w:val="clear" w:color="auto" w:fill="FFFFFF"/>
        <w:bidi w:val="0"/>
        <w:spacing w:after="0" w:line="270" w:lineRule="atLeast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MATERIAL AND METHODS:</w:t>
      </w:r>
    </w:p>
    <w:p w:rsidR="0068359D" w:rsidRPr="0068359D" w:rsidRDefault="0068359D" w:rsidP="0068359D">
      <w:pPr>
        <w:shd w:val="clear" w:color="auto" w:fill="FFFFFF"/>
        <w:bidi w:val="0"/>
        <w:spacing w:after="0" w:line="270" w:lineRule="atLeast"/>
        <w:ind w:right="60"/>
        <w:outlineLvl w:val="3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This prospective study included 50 patients with primary non metastatic locally advanced breast cancer according to American Joint Committee For Cancer Staging(T3-4;N0-3)were treated between January 2012 and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Jaune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2012 at Clinical Oncology Department, Tanta University Hospital.</w:t>
      </w:r>
    </w:p>
    <w:p w:rsidR="0068359D" w:rsidRPr="0068359D" w:rsidRDefault="0068359D" w:rsidP="0068359D">
      <w:pPr>
        <w:shd w:val="clear" w:color="auto" w:fill="FFFFFF"/>
        <w:bidi w:val="0"/>
        <w:spacing w:after="120" w:line="27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>Topoisomerase II-α, HER2, estrogen receptor (ER</w:t>
      </w:r>
      <w:proofErr w:type="gram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) ,</w:t>
      </w:r>
      <w:proofErr w:type="gram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progesterone receptor (PR) expression and KI-67 were evaluated by immunohistochemistry in formalin-fixed, paraffin-embedded breast tumors from 50 patients presenting with locally advanced breast cancer.</w:t>
      </w:r>
    </w:p>
    <w:p w:rsidR="0068359D" w:rsidRPr="0068359D" w:rsidRDefault="0068359D" w:rsidP="0068359D">
      <w:pPr>
        <w:shd w:val="clear" w:color="auto" w:fill="FFFFFF"/>
        <w:bidi w:val="0"/>
        <w:spacing w:after="120" w:line="270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68359D" w:rsidRPr="0068359D" w:rsidRDefault="0068359D" w:rsidP="0068359D">
      <w:pPr>
        <w:shd w:val="clear" w:color="auto" w:fill="FFFFFF"/>
        <w:bidi w:val="0"/>
        <w:spacing w:after="0" w:line="270" w:lineRule="atLeast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RESULTS:</w:t>
      </w:r>
    </w:p>
    <w:p w:rsidR="0068359D" w:rsidRPr="0068359D" w:rsidRDefault="0068359D" w:rsidP="0068359D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>Tumors from 50 patients, 45 (90%) showed topoisomerase II-α overexpression, patients 34 (68%) for ER positive, 32 (64%) for PR positive and 10 (20%) for HER2 overexpression and 16 (32%) for high KI 67.</w:t>
      </w:r>
    </w:p>
    <w:p w:rsidR="0068359D" w:rsidRPr="0068359D" w:rsidRDefault="0068359D" w:rsidP="0068359D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GB" w:bidi="ar-EG"/>
        </w:rPr>
      </w:pPr>
      <w:proofErr w:type="gramStart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Significant correlation between clinical and pathological response with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topo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IIA, HER2 and KI-67.</w:t>
      </w:r>
      <w:proofErr w:type="gram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p</w:t>
      </w:r>
      <w:proofErr w:type="gram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value (≤0.001), (0.005) and (0.015) respectively.</w:t>
      </w:r>
    </w:p>
    <w:p w:rsidR="0068359D" w:rsidRPr="0068359D" w:rsidRDefault="0068359D" w:rsidP="0068359D">
      <w:pPr>
        <w:bidi w:val="0"/>
        <w:spacing w:before="120" w:after="120" w:line="360" w:lineRule="auto"/>
        <w:jc w:val="lowKashida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>1-</w:t>
      </w:r>
      <w:proofErr w:type="gram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Responders :</w:t>
      </w:r>
      <w:proofErr w:type="gramEnd"/>
    </w:p>
    <w:p w:rsidR="0068359D" w:rsidRPr="0068359D" w:rsidRDefault="0068359D" w:rsidP="0068359D">
      <w:pPr>
        <w:numPr>
          <w:ilvl w:val="0"/>
          <w:numId w:val="19"/>
        </w:numPr>
        <w:bidi w:val="0"/>
        <w:spacing w:before="120" w:after="120" w:line="360" w:lineRule="auto"/>
        <w:ind w:left="540"/>
        <w:jc w:val="lowKashida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Clinical (CR): 3 patients had co-expression of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topo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II and HER2, hormonal receptor negative and high KI-67.</w:t>
      </w:r>
    </w:p>
    <w:p w:rsidR="0068359D" w:rsidRPr="0068359D" w:rsidRDefault="0068359D" w:rsidP="0068359D">
      <w:pPr>
        <w:numPr>
          <w:ilvl w:val="0"/>
          <w:numId w:val="19"/>
        </w:numPr>
        <w:bidi w:val="0"/>
        <w:spacing w:before="120" w:after="120" w:line="360" w:lineRule="auto"/>
        <w:ind w:left="540"/>
        <w:jc w:val="lowKashida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Clinical(PR):43 patients majority of them had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topo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IIA overexpression .fig(9-10)</w:t>
      </w:r>
    </w:p>
    <w:p w:rsidR="0068359D" w:rsidRPr="0068359D" w:rsidRDefault="0068359D" w:rsidP="0068359D">
      <w:pPr>
        <w:bidi w:val="0"/>
        <w:spacing w:before="120" w:after="120" w:line="360" w:lineRule="auto"/>
        <w:jc w:val="lowKashida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2-Non </w:t>
      </w:r>
      <w:proofErr w:type="gram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responders :</w:t>
      </w:r>
      <w:proofErr w:type="gramEnd"/>
    </w:p>
    <w:p w:rsidR="0068359D" w:rsidRPr="0068359D" w:rsidRDefault="0068359D" w:rsidP="0068359D">
      <w:pPr>
        <w:bidi w:val="0"/>
        <w:spacing w:before="120" w:after="120" w:line="360" w:lineRule="auto"/>
        <w:ind w:firstLine="720"/>
        <w:jc w:val="lowKashida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>4(8%) patients all had negative (TOPOII/HER2), low KI-67and 2 had hormonal receptor positive and another 2 had hormonal receptor negative.</w:t>
      </w:r>
    </w:p>
    <w:p w:rsidR="0068359D" w:rsidRPr="0068359D" w:rsidRDefault="0068359D" w:rsidP="0068359D">
      <w:pPr>
        <w:shd w:val="clear" w:color="auto" w:fill="FFFFFF"/>
        <w:bidi w:val="0"/>
        <w:spacing w:after="120" w:line="270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68359D" w:rsidRPr="0068359D" w:rsidRDefault="0068359D" w:rsidP="0068359D">
      <w:pPr>
        <w:shd w:val="clear" w:color="auto" w:fill="FFFFFF"/>
        <w:bidi w:val="0"/>
        <w:spacing w:after="0" w:line="270" w:lineRule="atLeast"/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lastRenderedPageBreak/>
        <w:t>CONCLUSIONS:</w:t>
      </w:r>
    </w:p>
    <w:p w:rsidR="0068359D" w:rsidRPr="0068359D" w:rsidRDefault="0068359D" w:rsidP="0068359D">
      <w:pPr>
        <w:shd w:val="clear" w:color="auto" w:fill="FFFFFF"/>
        <w:bidi w:val="0"/>
        <w:spacing w:after="120" w:line="270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Our </w:t>
      </w:r>
      <w:proofErr w:type="gram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data  support</w:t>
      </w:r>
      <w:proofErr w:type="gram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a correlation between topoisomerase II-α expression in locally advanced  breast cancer patients and improved clinical benefit with 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neoadjuvant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anthracyclines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based  therapy.</w:t>
      </w:r>
    </w:p>
    <w:p w:rsidR="0068359D" w:rsidRPr="0068359D" w:rsidRDefault="0068359D" w:rsidP="0068359D">
      <w:pPr>
        <w:jc w:val="right"/>
        <w:rPr>
          <w:rFonts w:ascii="Calibri" w:eastAsia="Calibri" w:hAnsi="Calibri" w:cs="Arial"/>
          <w:rtl/>
          <w:lang w:bidi="ar-EG"/>
        </w:rPr>
      </w:pPr>
    </w:p>
    <w:p w:rsidR="0068359D" w:rsidRPr="0068359D" w:rsidRDefault="0068359D" w:rsidP="0068359D">
      <w:pPr>
        <w:jc w:val="right"/>
        <w:rPr>
          <w:rFonts w:ascii="Calibri" w:eastAsia="Calibri" w:hAnsi="Calibri" w:cs="Arial"/>
          <w:rtl/>
          <w:lang w:bidi="ar-EG"/>
        </w:rPr>
      </w:pPr>
    </w:p>
    <w:p w:rsidR="0068359D" w:rsidRPr="0068359D" w:rsidRDefault="0068359D" w:rsidP="0068359D">
      <w:pPr>
        <w:jc w:val="right"/>
        <w:rPr>
          <w:rFonts w:ascii="Calibri" w:eastAsia="Calibri" w:hAnsi="Calibri" w:cs="Arial"/>
          <w:rtl/>
          <w:lang w:bidi="ar-EG"/>
        </w:rPr>
      </w:pPr>
    </w:p>
    <w:p w:rsidR="0068359D" w:rsidRPr="0068359D" w:rsidRDefault="0068359D" w:rsidP="0068359D">
      <w:pPr>
        <w:jc w:val="right"/>
        <w:rPr>
          <w:rFonts w:ascii="Calibri" w:eastAsia="Calibri" w:hAnsi="Calibri" w:cs="Arial"/>
          <w:rtl/>
          <w:lang w:bidi="ar-EG"/>
        </w:rPr>
      </w:pPr>
    </w:p>
    <w:p w:rsidR="0068359D" w:rsidRPr="0068359D" w:rsidRDefault="0068359D" w:rsidP="0068359D">
      <w:pPr>
        <w:tabs>
          <w:tab w:val="left" w:pos="7061"/>
          <w:tab w:val="right" w:pos="8306"/>
        </w:tabs>
        <w:rPr>
          <w:rFonts w:ascii="Calibri" w:eastAsia="Calibri" w:hAnsi="Calibri" w:cs="Arial"/>
          <w:rtl/>
          <w:lang w:bidi="ar-EG"/>
        </w:rPr>
      </w:pPr>
      <w:r w:rsidRPr="0068359D">
        <w:rPr>
          <w:rFonts w:ascii="Calibri" w:eastAsia="Calibri" w:hAnsi="Calibri" w:cs="Arial"/>
          <w:lang w:bidi="ar-EG"/>
        </w:rPr>
        <w:tab/>
      </w:r>
      <w:r w:rsidRPr="0068359D">
        <w:rPr>
          <w:rFonts w:ascii="Calibri" w:eastAsia="Calibri" w:hAnsi="Calibri" w:cs="Arial"/>
          <w:lang w:bidi="ar-EG"/>
        </w:rPr>
        <w:tab/>
        <w:t xml:space="preserve"> </w:t>
      </w:r>
    </w:p>
    <w:p w:rsidR="0068359D" w:rsidRPr="0068359D" w:rsidRDefault="0068359D" w:rsidP="0068359D">
      <w:pPr>
        <w:jc w:val="right"/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</w:pPr>
      <w:r w:rsidRPr="0068359D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BIOGRAPHY:</w:t>
      </w:r>
    </w:p>
    <w:p w:rsidR="00D4283B" w:rsidRPr="00D4283B" w:rsidRDefault="0068359D" w:rsidP="0068359D">
      <w:pPr>
        <w:bidi w:val="0"/>
        <w:spacing w:line="240" w:lineRule="auto"/>
        <w:jc w:val="both"/>
        <w:rPr>
          <w:rFonts w:asciiTheme="majorBidi" w:hAnsiTheme="majorBidi" w:cstheme="majorBidi"/>
          <w:lang w:bidi="ar-EG"/>
        </w:rPr>
      </w:pPr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I am a medical oncologist and work in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aswan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university hospital as assistant </w:t>
      </w:r>
      <w:proofErr w:type="gram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lecturer .</w:t>
      </w:r>
      <w:proofErr w:type="gram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 I concerned in management of gynecological cancer especially breast and ovarian cancer. My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researche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focus in detection of biomarkers for chemotherapy sensitivity or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resistancy</w:t>
      </w:r>
      <w:proofErr w:type="spellEnd"/>
      <w:r w:rsidRPr="0068359D">
        <w:rPr>
          <w:rFonts w:ascii="Arial" w:eastAsia="Times New Roman" w:hAnsi="Arial" w:cs="Arial"/>
          <w:color w:val="000000"/>
          <w:sz w:val="20"/>
          <w:szCs w:val="20"/>
        </w:rPr>
        <w:t xml:space="preserve"> in both breast and ovarian </w:t>
      </w:r>
      <w:proofErr w:type="spellStart"/>
      <w:r w:rsidRPr="0068359D">
        <w:rPr>
          <w:rFonts w:ascii="Arial" w:eastAsia="Times New Roman" w:hAnsi="Arial" w:cs="Arial"/>
          <w:color w:val="000000"/>
          <w:sz w:val="20"/>
          <w:szCs w:val="20"/>
        </w:rPr>
        <w:t>canc</w:t>
      </w:r>
      <w:proofErr w:type="spellEnd"/>
    </w:p>
    <w:sectPr w:rsidR="00D4283B" w:rsidRPr="00D4283B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DDA" w:rsidRDefault="00E02DDA" w:rsidP="005B7221">
      <w:pPr>
        <w:spacing w:after="0" w:line="240" w:lineRule="auto"/>
      </w:pPr>
      <w:r>
        <w:separator/>
      </w:r>
    </w:p>
  </w:endnote>
  <w:endnote w:type="continuationSeparator" w:id="0">
    <w:p w:rsidR="00E02DDA" w:rsidRDefault="00E02DDA" w:rsidP="005B7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8579"/>
      <w:docPartObj>
        <w:docPartGallery w:val="Page Numbers (Bottom of Page)"/>
        <w:docPartUnique/>
      </w:docPartObj>
    </w:sdtPr>
    <w:sdtEndPr/>
    <w:sdtContent>
      <w:p w:rsidR="005B7221" w:rsidRDefault="000267BE" w:rsidP="005B7221">
        <w:pPr>
          <w:pStyle w:val="Footer"/>
          <w:bidi w:val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B7221" w:rsidRDefault="005B72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DDA" w:rsidRDefault="00E02DDA" w:rsidP="005B7221">
      <w:pPr>
        <w:spacing w:after="0" w:line="240" w:lineRule="auto"/>
      </w:pPr>
      <w:r>
        <w:separator/>
      </w:r>
    </w:p>
  </w:footnote>
  <w:footnote w:type="continuationSeparator" w:id="0">
    <w:p w:rsidR="00E02DDA" w:rsidRDefault="00E02DDA" w:rsidP="005B72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217D3"/>
    <w:multiLevelType w:val="hybridMultilevel"/>
    <w:tmpl w:val="3C32B7C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A4178D1"/>
    <w:multiLevelType w:val="hybridMultilevel"/>
    <w:tmpl w:val="75304D7C"/>
    <w:lvl w:ilvl="0" w:tplc="5F000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7664D"/>
    <w:multiLevelType w:val="hybridMultilevel"/>
    <w:tmpl w:val="F85223B4"/>
    <w:lvl w:ilvl="0" w:tplc="5F000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855E2"/>
    <w:multiLevelType w:val="hybridMultilevel"/>
    <w:tmpl w:val="EA9E2C20"/>
    <w:lvl w:ilvl="0" w:tplc="04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34E14D44"/>
    <w:multiLevelType w:val="hybridMultilevel"/>
    <w:tmpl w:val="C8E6BA06"/>
    <w:lvl w:ilvl="0" w:tplc="5F000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E63F0"/>
    <w:multiLevelType w:val="hybridMultilevel"/>
    <w:tmpl w:val="74C40C8A"/>
    <w:lvl w:ilvl="0" w:tplc="040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783435B"/>
    <w:multiLevelType w:val="hybridMultilevel"/>
    <w:tmpl w:val="66B214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CBB63B5"/>
    <w:multiLevelType w:val="hybridMultilevel"/>
    <w:tmpl w:val="56C40552"/>
    <w:lvl w:ilvl="0" w:tplc="04090009">
      <w:start w:val="1"/>
      <w:numFmt w:val="bullet"/>
      <w:lvlText w:val="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545A50B8">
      <w:start w:val="1"/>
      <w:numFmt w:val="upperLetter"/>
      <w:lvlText w:val="%3-"/>
      <w:lvlJc w:val="left"/>
      <w:pPr>
        <w:tabs>
          <w:tab w:val="num" w:pos="2239"/>
        </w:tabs>
        <w:ind w:left="2239" w:hanging="375"/>
      </w:pPr>
      <w:rPr>
        <w:rFonts w:ascii="Arial" w:hAnsi="Arial" w:cs="Arial" w:hint="default"/>
        <w:b/>
        <w:bCs/>
        <w:sz w:val="26"/>
        <w:szCs w:val="26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>
    <w:nsid w:val="4D8B1089"/>
    <w:multiLevelType w:val="hybridMultilevel"/>
    <w:tmpl w:val="BB1CB8F2"/>
    <w:lvl w:ilvl="0" w:tplc="5F000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E81159"/>
    <w:multiLevelType w:val="hybridMultilevel"/>
    <w:tmpl w:val="6C986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58C2931"/>
    <w:multiLevelType w:val="hybridMultilevel"/>
    <w:tmpl w:val="23A00614"/>
    <w:lvl w:ilvl="0" w:tplc="3AC2AF78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7A64938"/>
    <w:multiLevelType w:val="hybridMultilevel"/>
    <w:tmpl w:val="35B6CF84"/>
    <w:lvl w:ilvl="0" w:tplc="5F000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A85D53"/>
    <w:multiLevelType w:val="hybridMultilevel"/>
    <w:tmpl w:val="FE1AC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7C19AD"/>
    <w:multiLevelType w:val="hybridMultilevel"/>
    <w:tmpl w:val="81A06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E207D0"/>
    <w:multiLevelType w:val="hybridMultilevel"/>
    <w:tmpl w:val="BE94E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7011EA"/>
    <w:multiLevelType w:val="hybridMultilevel"/>
    <w:tmpl w:val="FAD20B86"/>
    <w:lvl w:ilvl="0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>
    <w:nsid w:val="6FFA11CB"/>
    <w:multiLevelType w:val="hybridMultilevel"/>
    <w:tmpl w:val="AE685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1BE4968"/>
    <w:multiLevelType w:val="hybridMultilevel"/>
    <w:tmpl w:val="73AC05EE"/>
    <w:lvl w:ilvl="0" w:tplc="5F000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51260A"/>
    <w:multiLevelType w:val="hybridMultilevel"/>
    <w:tmpl w:val="BB1CB8F2"/>
    <w:lvl w:ilvl="0" w:tplc="5F000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0"/>
  </w:num>
  <w:num w:numId="5">
    <w:abstractNumId w:val="17"/>
  </w:num>
  <w:num w:numId="6">
    <w:abstractNumId w:val="18"/>
  </w:num>
  <w:num w:numId="7">
    <w:abstractNumId w:val="0"/>
  </w:num>
  <w:num w:numId="8">
    <w:abstractNumId w:val="15"/>
  </w:num>
  <w:num w:numId="9">
    <w:abstractNumId w:val="16"/>
  </w:num>
  <w:num w:numId="10">
    <w:abstractNumId w:val="2"/>
  </w:num>
  <w:num w:numId="11">
    <w:abstractNumId w:val="4"/>
  </w:num>
  <w:num w:numId="12">
    <w:abstractNumId w:val="5"/>
  </w:num>
  <w:num w:numId="13">
    <w:abstractNumId w:val="11"/>
  </w:num>
  <w:num w:numId="14">
    <w:abstractNumId w:val="9"/>
  </w:num>
  <w:num w:numId="15">
    <w:abstractNumId w:val="6"/>
  </w:num>
  <w:num w:numId="16">
    <w:abstractNumId w:val="12"/>
  </w:num>
  <w:num w:numId="17">
    <w:abstractNumId w:val="14"/>
  </w:num>
  <w:num w:numId="18">
    <w:abstractNumId w:val="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6C82"/>
    <w:rsid w:val="000267BE"/>
    <w:rsid w:val="0005468B"/>
    <w:rsid w:val="00061505"/>
    <w:rsid w:val="000E1424"/>
    <w:rsid w:val="00111013"/>
    <w:rsid w:val="0017242C"/>
    <w:rsid w:val="00186C05"/>
    <w:rsid w:val="0019602B"/>
    <w:rsid w:val="001D095F"/>
    <w:rsid w:val="001F0D1D"/>
    <w:rsid w:val="002E6E1A"/>
    <w:rsid w:val="003812A0"/>
    <w:rsid w:val="00402C90"/>
    <w:rsid w:val="00450F53"/>
    <w:rsid w:val="00451D9D"/>
    <w:rsid w:val="004622A2"/>
    <w:rsid w:val="00515534"/>
    <w:rsid w:val="005273D4"/>
    <w:rsid w:val="005902FE"/>
    <w:rsid w:val="005B7221"/>
    <w:rsid w:val="005D66B6"/>
    <w:rsid w:val="005E7543"/>
    <w:rsid w:val="005F1982"/>
    <w:rsid w:val="005F460A"/>
    <w:rsid w:val="00672E4D"/>
    <w:rsid w:val="0068359D"/>
    <w:rsid w:val="00713CDC"/>
    <w:rsid w:val="00746274"/>
    <w:rsid w:val="007C3052"/>
    <w:rsid w:val="008321F4"/>
    <w:rsid w:val="00844EB1"/>
    <w:rsid w:val="008C02F5"/>
    <w:rsid w:val="008D1C4A"/>
    <w:rsid w:val="008D5953"/>
    <w:rsid w:val="00A072E4"/>
    <w:rsid w:val="00AA6436"/>
    <w:rsid w:val="00AB2DC9"/>
    <w:rsid w:val="00B03C61"/>
    <w:rsid w:val="00B32EBB"/>
    <w:rsid w:val="00BC6C82"/>
    <w:rsid w:val="00BD421B"/>
    <w:rsid w:val="00BD62F7"/>
    <w:rsid w:val="00C25624"/>
    <w:rsid w:val="00C53ECC"/>
    <w:rsid w:val="00C717D5"/>
    <w:rsid w:val="00C86561"/>
    <w:rsid w:val="00CB0820"/>
    <w:rsid w:val="00CC5131"/>
    <w:rsid w:val="00CD08C2"/>
    <w:rsid w:val="00CE28EC"/>
    <w:rsid w:val="00CF61C9"/>
    <w:rsid w:val="00CF6545"/>
    <w:rsid w:val="00D4283B"/>
    <w:rsid w:val="00D67980"/>
    <w:rsid w:val="00DD064E"/>
    <w:rsid w:val="00DF7644"/>
    <w:rsid w:val="00E02DDA"/>
    <w:rsid w:val="00E80BC7"/>
    <w:rsid w:val="00EA5665"/>
    <w:rsid w:val="00EE5E66"/>
    <w:rsid w:val="00FF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F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B72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7221"/>
  </w:style>
  <w:style w:type="paragraph" w:styleId="Footer">
    <w:name w:val="footer"/>
    <w:basedOn w:val="Normal"/>
    <w:link w:val="FooterChar"/>
    <w:uiPriority w:val="99"/>
    <w:unhideWhenUsed/>
    <w:rsid w:val="005B72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2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ohammed.game3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2B60934-D201-4AA3-B9EC-B77A4B96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vortex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vortex-pc</dc:creator>
  <cp:keywords/>
  <dc:description/>
  <cp:lastModifiedBy>mohammed mostafa</cp:lastModifiedBy>
  <cp:revision>70</cp:revision>
  <cp:lastPrinted>2015-12-09T18:39:00Z</cp:lastPrinted>
  <dcterms:created xsi:type="dcterms:W3CDTF">2015-12-09T17:01:00Z</dcterms:created>
  <dcterms:modified xsi:type="dcterms:W3CDTF">2017-06-02T12:27:00Z</dcterms:modified>
</cp:coreProperties>
</file>