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default" w:ascii="Times New Roman" w:hAnsi="Times New Roman" w:cs="Times New Roman" w:eastAsiaTheme="minorEastAsia"/>
        </w:rPr>
      </w:pPr>
      <w:r>
        <w:rPr>
          <w:rFonts w:hint="default" w:ascii="Times New Roman" w:hAnsi="Times New Roman" w:cs="Times New Roman" w:eastAsiaTheme="minorEastAsia"/>
        </w:rPr>
        <w:t xml:space="preserve">Regulation of TLR9/MyD88/NF-kappa B signaling pathway on </w:t>
      </w:r>
      <w:r>
        <w:rPr>
          <w:rFonts w:hint="default" w:ascii="Times New Roman" w:hAnsi="Times New Roman" w:cs="Times New Roman" w:eastAsiaTheme="minorEastAsia"/>
          <w:lang w:val="en-US"/>
        </w:rPr>
        <w:t>R</w:t>
      </w:r>
      <w:r>
        <w:rPr>
          <w:rFonts w:hint="default" w:ascii="Times New Roman" w:hAnsi="Times New Roman" w:cs="Times New Roman" w:eastAsiaTheme="minorEastAsia"/>
        </w:rPr>
        <w:t xml:space="preserve">egulatory B </w:t>
      </w:r>
      <w:r>
        <w:rPr>
          <w:rFonts w:hint="default" w:ascii="Times New Roman" w:hAnsi="Times New Roman" w:cs="Times New Roman" w:eastAsiaTheme="minorEastAsia"/>
          <w:lang w:val="en-US"/>
        </w:rPr>
        <w:t>C</w:t>
      </w:r>
      <w:r>
        <w:rPr>
          <w:rFonts w:hint="default" w:ascii="Times New Roman" w:hAnsi="Times New Roman" w:cs="Times New Roman" w:eastAsiaTheme="minorEastAsia"/>
        </w:rPr>
        <w:t>ells</w:t>
      </w:r>
      <w:r>
        <w:rPr>
          <w:rFonts w:hint="default" w:ascii="Times New Roman" w:hAnsi="Times New Roman" w:cs="Times New Roman" w:eastAsiaTheme="minorEastAsia"/>
          <w:lang w:val="en-US"/>
        </w:rPr>
        <w:t xml:space="preserve"> (Breg)</w:t>
      </w:r>
      <w:r>
        <w:rPr>
          <w:rFonts w:hint="default" w:ascii="Times New Roman" w:hAnsi="Times New Roman" w:cs="Times New Roman" w:eastAsiaTheme="minorEastAsia"/>
        </w:rPr>
        <w:t xml:space="preserve"> in patients with </w:t>
      </w:r>
      <w:bookmarkStart w:id="0" w:name="_GoBack"/>
      <w:bookmarkEnd w:id="0"/>
      <w:r>
        <w:rPr>
          <w:rFonts w:hint="default" w:ascii="Times New Roman" w:hAnsi="Times New Roman" w:cs="Times New Roman" w:eastAsiaTheme="minorEastAsia"/>
        </w:rPr>
        <w:t xml:space="preserve">thymoma and </w:t>
      </w:r>
      <w:r>
        <w:rPr>
          <w:rFonts w:hint="default" w:ascii="Times New Roman" w:hAnsi="Times New Roman" w:cs="Times New Roman" w:eastAsiaTheme="minorEastAsia"/>
          <w:lang w:val="en-US"/>
        </w:rPr>
        <w:t>M</w:t>
      </w:r>
      <w:r>
        <w:rPr>
          <w:rFonts w:hint="default" w:ascii="Times New Roman" w:hAnsi="Times New Roman" w:cs="Times New Roman" w:eastAsiaTheme="minorEastAsia"/>
        </w:rPr>
        <w:t xml:space="preserve">yasthenia </w:t>
      </w:r>
      <w:r>
        <w:rPr>
          <w:rFonts w:hint="default" w:ascii="Times New Roman" w:hAnsi="Times New Roman" w:cs="Times New Roman" w:eastAsiaTheme="minorEastAsia"/>
          <w:lang w:val="en-US"/>
        </w:rPr>
        <w:t>G</w:t>
      </w:r>
      <w:r>
        <w:rPr>
          <w:rFonts w:hint="default" w:ascii="Times New Roman" w:hAnsi="Times New Roman" w:cs="Times New Roman" w:eastAsiaTheme="minorEastAsia"/>
        </w:rPr>
        <w:t>ravis</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default" w:ascii="Times New Roman" w:hAnsi="Times New Roman" w:cs="Times New Roman" w:eastAsiaTheme="minorEastAsia"/>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default" w:ascii="Times New Roman" w:hAnsi="Times New Roman" w:cs="Times New Roman" w:eastAsiaTheme="minorEastAsia"/>
          <w:sz w:val="18"/>
          <w:szCs w:val="18"/>
          <w:vertAlign w:val="superscript"/>
          <w:lang w:val="en-US"/>
        </w:rPr>
      </w:pPr>
      <w:r>
        <w:rPr>
          <w:rFonts w:hint="default" w:ascii="Times New Roman" w:hAnsi="Times New Roman" w:cs="Times New Roman" w:eastAsiaTheme="minorEastAsia"/>
          <w:sz w:val="18"/>
          <w:szCs w:val="18"/>
          <w:lang w:val="en-US"/>
        </w:rPr>
        <w:t>Yang Lyu</w:t>
      </w:r>
      <w:r>
        <w:rPr>
          <w:rFonts w:hint="default" w:ascii="Times New Roman" w:hAnsi="Times New Roman" w:cs="Times New Roman" w:eastAsiaTheme="minorEastAsia"/>
          <w:sz w:val="18"/>
          <w:szCs w:val="18"/>
          <w:vertAlign w:val="superscript"/>
          <w:lang w:val="en-US"/>
        </w:rPr>
        <w:t>1</w:t>
      </w:r>
      <w:r>
        <w:rPr>
          <w:rFonts w:hint="default" w:ascii="Times New Roman" w:hAnsi="Times New Roman" w:cs="Times New Roman" w:eastAsiaTheme="minorEastAsia"/>
          <w:sz w:val="18"/>
          <w:szCs w:val="18"/>
          <w:lang w:val="en-US"/>
        </w:rPr>
        <w:t>,  Peng Zhang</w:t>
      </w:r>
      <w:r>
        <w:rPr>
          <w:rFonts w:hint="default" w:ascii="Times New Roman" w:hAnsi="Times New Roman" w:cs="Times New Roman" w:eastAsiaTheme="minorEastAsia"/>
          <w:sz w:val="18"/>
          <w:szCs w:val="18"/>
          <w:vertAlign w:val="superscript"/>
          <w:lang w:val="en-US"/>
        </w:rPr>
        <w:t>2</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default" w:ascii="Times New Roman" w:hAnsi="Times New Roman" w:cs="Times New Roman" w:eastAsiaTheme="minorEastAsia"/>
          <w:sz w:val="18"/>
          <w:szCs w:val="18"/>
          <w:vertAlign w:val="superscript"/>
          <w:lang w:val="en-US"/>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default" w:ascii="Times New Roman" w:hAnsi="Times New Roman" w:cs="Times New Roman" w:eastAsiaTheme="minorEastAsia"/>
          <w:sz w:val="18"/>
          <w:szCs w:val="18"/>
          <w:vertAlign w:val="superscript"/>
          <w:lang w:val="en-US"/>
        </w:rPr>
      </w:pPr>
      <w:r>
        <w:rPr>
          <w:rFonts w:hint="default" w:ascii="Times New Roman" w:hAnsi="Times New Roman" w:cs="Times New Roman" w:eastAsiaTheme="minorEastAsia"/>
          <w:sz w:val="18"/>
          <w:szCs w:val="18"/>
          <w:vertAlign w:val="superscript"/>
          <w:lang w:val="en-US"/>
        </w:rPr>
        <w:t xml:space="preserve">1 </w:t>
      </w:r>
      <w:r>
        <w:rPr>
          <w:rFonts w:hint="default" w:ascii="Times New Roman" w:hAnsi="Times New Roman" w:cs="Times New Roman" w:eastAsiaTheme="minorEastAsia"/>
          <w:sz w:val="18"/>
          <w:szCs w:val="18"/>
        </w:rPr>
        <w:t>Department of Intensive Care Unit, Tianjin Medical University Cancer Institute and Hospital, National Clinical Research Center for Cancer, Key Laboratory of Cancer Prevention and Therapy, Tianjin, Tianjin’s Clinical Research Center for Cancer, 300060, China.</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default" w:ascii="Times New Roman" w:hAnsi="Times New Roman" w:cs="Times New Roman" w:eastAsiaTheme="minorEastAsia"/>
          <w:sz w:val="18"/>
          <w:szCs w:val="18"/>
        </w:rPr>
      </w:pPr>
      <w:r>
        <w:rPr>
          <w:rFonts w:hint="default" w:ascii="Times New Roman" w:hAnsi="Times New Roman" w:cs="Times New Roman" w:eastAsiaTheme="minorEastAsia"/>
          <w:sz w:val="18"/>
          <w:szCs w:val="18"/>
          <w:vertAlign w:val="superscript"/>
          <w:lang w:val="en-US"/>
        </w:rPr>
        <w:t xml:space="preserve">2 </w:t>
      </w:r>
      <w:r>
        <w:rPr>
          <w:rFonts w:hint="default" w:ascii="Times New Roman" w:hAnsi="Times New Roman" w:cs="Times New Roman" w:eastAsiaTheme="minorEastAsia"/>
          <w:sz w:val="18"/>
          <w:szCs w:val="18"/>
        </w:rPr>
        <w:t>Department of Cardiothoracic Surgery, Tianjin Medical University General Hospital, An Shan Road, Heping District, Tianjin, 300052, China.</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default" w:ascii="Times New Roman" w:hAnsi="Times New Roman" w:cs="Times New Roman" w:eastAsiaTheme="minorEastAsia"/>
          <w:szCs w:val="21"/>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default" w:ascii="Times New Roman" w:hAnsi="Times New Roman" w:cs="Times New Roman" w:eastAsiaTheme="minorEastAsia"/>
          <w:szCs w:val="21"/>
          <w:lang w:val="en-US"/>
        </w:rPr>
      </w:pPr>
      <w:r>
        <w:rPr>
          <w:rFonts w:hint="default" w:ascii="Times New Roman" w:hAnsi="Times New Roman" w:cs="Times New Roman" w:eastAsiaTheme="minorEastAsia"/>
          <w:b/>
          <w:bCs/>
          <w:szCs w:val="21"/>
          <w:lang w:val="en-US"/>
        </w:rPr>
        <w:t>Objective:</w:t>
      </w:r>
      <w:r>
        <w:rPr>
          <w:rFonts w:hint="default" w:ascii="Times New Roman" w:hAnsi="Times New Roman" w:cs="Times New Roman" w:eastAsiaTheme="minorEastAsia"/>
          <w:szCs w:val="21"/>
          <w:lang w:val="en-US"/>
        </w:rPr>
        <w:t xml:space="preserve"> To investigate the regulatory mechanism of TLR9/MyD88/NF-kappa B signaling pathway on </w:t>
      </w:r>
      <w:r>
        <w:rPr>
          <w:rFonts w:hint="default" w:ascii="Times New Roman" w:hAnsi="Times New Roman" w:cs="Times New Roman" w:eastAsiaTheme="minorEastAsia"/>
          <w:szCs w:val="21"/>
          <w:lang w:val="en-US"/>
        </w:rPr>
        <w:t>R</w:t>
      </w:r>
      <w:r>
        <w:rPr>
          <w:rFonts w:hint="default" w:ascii="Times New Roman" w:hAnsi="Times New Roman" w:cs="Times New Roman" w:eastAsiaTheme="minorEastAsia"/>
          <w:szCs w:val="21"/>
          <w:lang w:val="en-US"/>
        </w:rPr>
        <w:t xml:space="preserve">egulatory B </w:t>
      </w:r>
      <w:r>
        <w:rPr>
          <w:rFonts w:hint="default" w:ascii="Times New Roman" w:hAnsi="Times New Roman" w:cs="Times New Roman" w:eastAsiaTheme="minorEastAsia"/>
          <w:szCs w:val="21"/>
          <w:lang w:val="en-US"/>
        </w:rPr>
        <w:t>C</w:t>
      </w:r>
      <w:r>
        <w:rPr>
          <w:rFonts w:hint="default" w:ascii="Times New Roman" w:hAnsi="Times New Roman" w:cs="Times New Roman" w:eastAsiaTheme="minorEastAsia"/>
          <w:szCs w:val="21"/>
          <w:lang w:val="en-US"/>
        </w:rPr>
        <w:t>ells (Breg) in thymoma patients with myasthenia gravis</w:t>
      </w:r>
      <w:r>
        <w:rPr>
          <w:rFonts w:hint="default" w:ascii="Times New Roman" w:hAnsi="Times New Roman" w:cs="Times New Roman" w:eastAsiaTheme="minorEastAsia"/>
          <w:szCs w:val="21"/>
          <w:lang w:val="en-US"/>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default" w:ascii="Times New Roman" w:hAnsi="Times New Roman" w:cs="Times New Roman" w:eastAsiaTheme="minorEastAsia"/>
          <w:szCs w:val="21"/>
          <w:lang w:val="en-US"/>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default" w:ascii="Times New Roman" w:hAnsi="Times New Roman" w:cs="Times New Roman" w:eastAsiaTheme="minorEastAsia"/>
          <w:b/>
          <w:bCs/>
          <w:szCs w:val="21"/>
          <w:lang w:val="en-US"/>
        </w:rPr>
      </w:pPr>
      <w:r>
        <w:rPr>
          <w:rFonts w:hint="default" w:ascii="Times New Roman" w:hAnsi="Times New Roman" w:cs="Times New Roman" w:eastAsiaTheme="minorEastAsia"/>
          <w:b/>
          <w:bCs/>
          <w:szCs w:val="21"/>
          <w:lang w:val="en-US"/>
        </w:rPr>
        <w:t>Method</w:t>
      </w:r>
      <w:r>
        <w:rPr>
          <w:rFonts w:hint="default" w:ascii="Times New Roman" w:hAnsi="Times New Roman" w:cs="Times New Roman" w:eastAsiaTheme="minorEastAsia"/>
          <w:b/>
          <w:bCs/>
          <w:szCs w:val="21"/>
          <w:lang w:val="en-US" w:eastAsia="zh-CN"/>
        </w:rPr>
        <w:t>s</w:t>
      </w:r>
      <w:r>
        <w:rPr>
          <w:rFonts w:hint="default" w:ascii="Times New Roman" w:hAnsi="Times New Roman" w:cs="Times New Roman" w:eastAsiaTheme="minorEastAsia"/>
          <w:b/>
          <w:bCs/>
          <w:szCs w:val="21"/>
          <w:lang w:val="en-US"/>
        </w:rPr>
        <w:t>：</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default" w:ascii="Times New Roman" w:hAnsi="Times New Roman" w:cs="Times New Roman" w:eastAsiaTheme="minorEastAsia"/>
          <w:szCs w:val="21"/>
          <w:lang w:val="en-US" w:eastAsia="zh-CN"/>
        </w:rPr>
      </w:pPr>
      <w:r>
        <w:rPr>
          <w:rFonts w:hint="default" w:ascii="Times New Roman" w:hAnsi="Times New Roman" w:cs="Times New Roman" w:eastAsiaTheme="minorEastAsia"/>
          <w:szCs w:val="21"/>
          <w:lang w:val="en-US"/>
        </w:rPr>
        <w:t>Collect</w:t>
      </w:r>
      <w:r>
        <w:rPr>
          <w:rFonts w:hint="default" w:ascii="Times New Roman" w:hAnsi="Times New Roman" w:cs="Times New Roman" w:eastAsiaTheme="minorEastAsia"/>
          <w:szCs w:val="21"/>
          <w:lang w:val="en-US" w:eastAsia="zh-CN"/>
        </w:rPr>
        <w:t>ed</w:t>
      </w:r>
      <w:r>
        <w:rPr>
          <w:rFonts w:hint="default" w:ascii="Times New Roman" w:hAnsi="Times New Roman" w:cs="Times New Roman" w:eastAsiaTheme="minorEastAsia"/>
          <w:szCs w:val="21"/>
          <w:lang w:val="en-US"/>
        </w:rPr>
        <w:t xml:space="preserve"> clinical specimens</w:t>
      </w:r>
      <w:r>
        <w:rPr>
          <w:rFonts w:hint="default" w:ascii="Times New Roman" w:hAnsi="Times New Roman" w:cs="Times New Roman" w:eastAsiaTheme="minorEastAsia"/>
          <w:szCs w:val="21"/>
          <w:lang w:val="en-US" w:eastAsia="zh-CN"/>
        </w:rPr>
        <w:t xml:space="preserve"> for </w:t>
      </w:r>
      <w:r>
        <w:rPr>
          <w:rFonts w:hint="default" w:ascii="Times New Roman" w:hAnsi="Times New Roman" w:cs="Times New Roman" w:eastAsiaTheme="minorEastAsia"/>
          <w:szCs w:val="21"/>
          <w:lang w:val="en-US"/>
        </w:rPr>
        <w:t xml:space="preserve">60 cases, </w:t>
      </w:r>
      <w:r>
        <w:rPr>
          <w:rFonts w:hint="default" w:ascii="Times New Roman" w:hAnsi="Times New Roman" w:cs="Times New Roman" w:eastAsiaTheme="minorEastAsia"/>
          <w:szCs w:val="21"/>
          <w:lang w:val="en-US" w:eastAsia="zh-CN"/>
        </w:rPr>
        <w:t xml:space="preserve">grouping </w:t>
      </w:r>
      <w:r>
        <w:rPr>
          <w:rFonts w:hint="default" w:ascii="Times New Roman" w:hAnsi="Times New Roman" w:cs="Times New Roman" w:eastAsiaTheme="minorEastAsia"/>
          <w:szCs w:val="21"/>
          <w:lang w:val="en-US"/>
        </w:rPr>
        <w:t>according to the normal control group (Control</w:t>
      </w:r>
      <w:r>
        <w:rPr>
          <w:rFonts w:hint="default" w:ascii="Times New Roman" w:hAnsi="Times New Roman" w:cs="Times New Roman" w:eastAsiaTheme="minorEastAsia"/>
          <w:szCs w:val="21"/>
          <w:lang w:val="en-US" w:eastAsia="zh-CN"/>
        </w:rPr>
        <w:t xml:space="preserve"> </w:t>
      </w:r>
      <w:r>
        <w:rPr>
          <w:rFonts w:hint="default" w:ascii="Times New Roman" w:hAnsi="Times New Roman" w:cs="Times New Roman" w:eastAsiaTheme="minorEastAsia"/>
          <w:szCs w:val="21"/>
          <w:lang w:val="en-US"/>
        </w:rPr>
        <w:t>group), simple thymoma group (Tm</w:t>
      </w:r>
      <w:r>
        <w:rPr>
          <w:rFonts w:hint="default" w:ascii="Times New Roman" w:hAnsi="Times New Roman" w:cs="Times New Roman" w:eastAsiaTheme="minorEastAsia"/>
          <w:szCs w:val="21"/>
          <w:lang w:val="en-US" w:eastAsia="zh-CN"/>
        </w:rPr>
        <w:t xml:space="preserve"> </w:t>
      </w:r>
      <w:r>
        <w:rPr>
          <w:rFonts w:hint="default" w:ascii="Times New Roman" w:hAnsi="Times New Roman" w:cs="Times New Roman" w:eastAsiaTheme="minorEastAsia"/>
          <w:szCs w:val="21"/>
          <w:lang w:val="en-US"/>
        </w:rPr>
        <w:t xml:space="preserve">group ), thymoma combined </w:t>
      </w:r>
      <w:r>
        <w:rPr>
          <w:rFonts w:hint="default" w:ascii="Times New Roman" w:hAnsi="Times New Roman" w:cs="Times New Roman" w:eastAsiaTheme="minorEastAsia"/>
          <w:szCs w:val="21"/>
          <w:lang w:val="en-US" w:eastAsia="zh-CN"/>
        </w:rPr>
        <w:t xml:space="preserve">with </w:t>
      </w:r>
      <w:r>
        <w:rPr>
          <w:rFonts w:hint="default" w:ascii="Times New Roman" w:hAnsi="Times New Roman" w:cs="Times New Roman" w:eastAsiaTheme="minorEastAsia"/>
          <w:szCs w:val="21"/>
          <w:lang w:val="en-US"/>
        </w:rPr>
        <w:t>myasthenia gravis group (MG</w:t>
      </w:r>
      <w:r>
        <w:rPr>
          <w:rFonts w:hint="default" w:ascii="Times New Roman" w:hAnsi="Times New Roman" w:cs="Times New Roman" w:eastAsiaTheme="minorEastAsia"/>
          <w:szCs w:val="21"/>
          <w:lang w:val="en-US" w:eastAsia="zh-CN"/>
        </w:rPr>
        <w:t xml:space="preserve"> </w:t>
      </w:r>
      <w:r>
        <w:rPr>
          <w:rFonts w:hint="default" w:ascii="Times New Roman" w:hAnsi="Times New Roman" w:cs="Times New Roman" w:eastAsiaTheme="minorEastAsia"/>
          <w:szCs w:val="21"/>
          <w:lang w:val="en-US"/>
        </w:rPr>
        <w:t xml:space="preserve">group) </w:t>
      </w:r>
      <w:r>
        <w:rPr>
          <w:rFonts w:hint="default" w:ascii="Times New Roman" w:hAnsi="Times New Roman" w:cs="Times New Roman" w:eastAsiaTheme="minorEastAsia"/>
          <w:szCs w:val="21"/>
          <w:lang w:val="en-US" w:eastAsia="zh-CN"/>
        </w:rPr>
        <w:t>, the percentage of Breg in the three groups was detected by flow cytometry, and the percentage of CD19</w:t>
      </w:r>
      <w:r>
        <w:rPr>
          <w:rFonts w:hint="default" w:ascii="Times New Roman" w:hAnsi="Times New Roman" w:cs="Times New Roman" w:eastAsiaTheme="minorEastAsia"/>
          <w:szCs w:val="21"/>
          <w:vertAlign w:val="superscript"/>
          <w:lang w:val="en-US" w:eastAsia="zh-CN"/>
        </w:rPr>
        <w:t>+</w:t>
      </w:r>
      <w:r>
        <w:rPr>
          <w:rFonts w:hint="default" w:ascii="Times New Roman" w:hAnsi="Times New Roman" w:cs="Times New Roman" w:eastAsiaTheme="minorEastAsia"/>
          <w:szCs w:val="21"/>
          <w:lang w:val="en-US" w:eastAsia="zh-CN"/>
        </w:rPr>
        <w:t>IL10</w:t>
      </w:r>
      <w:r>
        <w:rPr>
          <w:rFonts w:hint="default" w:ascii="Times New Roman" w:hAnsi="Times New Roman" w:cs="Times New Roman" w:eastAsiaTheme="minorEastAsia"/>
          <w:szCs w:val="21"/>
          <w:vertAlign w:val="superscript"/>
          <w:lang w:val="en-US" w:eastAsia="zh-CN"/>
        </w:rPr>
        <w:t>+</w:t>
      </w:r>
      <w:r>
        <w:rPr>
          <w:rFonts w:hint="default" w:ascii="Times New Roman" w:hAnsi="Times New Roman" w:cs="Times New Roman" w:eastAsiaTheme="minorEastAsia"/>
          <w:szCs w:val="21"/>
          <w:lang w:val="en-US" w:eastAsia="zh-CN"/>
        </w:rPr>
        <w:t xml:space="preserve">B cells in thymoma tissues was detected by immunohistochemical double staining; </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default" w:ascii="Times New Roman" w:hAnsi="Times New Roman" w:cs="Times New Roman" w:eastAsiaTheme="minorEastAsia"/>
          <w:szCs w:val="21"/>
          <w:lang w:val="en-US" w:eastAsia="zh-CN"/>
        </w:rPr>
      </w:pPr>
      <w:r>
        <w:rPr>
          <w:rFonts w:hint="eastAsia" w:ascii="Times New Roman" w:hAnsi="Times New Roman" w:cs="Times New Roman"/>
          <w:szCs w:val="21"/>
          <w:lang w:val="en-US" w:eastAsia="zh-CN"/>
        </w:rPr>
        <w:t>U</w:t>
      </w:r>
      <w:r>
        <w:rPr>
          <w:rFonts w:hint="default" w:ascii="Times New Roman" w:hAnsi="Times New Roman" w:cs="Times New Roman" w:eastAsiaTheme="minorEastAsia"/>
          <w:szCs w:val="21"/>
          <w:lang w:val="en-US" w:eastAsia="zh-CN"/>
        </w:rPr>
        <w:t xml:space="preserve">tilize Real-Time PCR+Western-Blot to detectthe gene and protein expression levels of TLR-9, MyD88, NF- kappa B; </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default" w:ascii="Times New Roman" w:hAnsi="Times New Roman" w:cs="Times New Roman" w:eastAsiaTheme="minorEastAsia"/>
          <w:szCs w:val="21"/>
          <w:lang w:val="en-US" w:eastAsia="zh-CN"/>
        </w:rPr>
      </w:pPr>
      <w:r>
        <w:rPr>
          <w:rFonts w:hint="default" w:ascii="Times New Roman" w:hAnsi="Times New Roman" w:cs="Times New Roman" w:eastAsiaTheme="minorEastAsia"/>
          <w:szCs w:val="21"/>
          <w:lang w:val="en-US" w:eastAsia="zh-CN"/>
        </w:rPr>
        <w:t>Peripheral blood B cells were cultured by immunomagnetic beads sorting technique (MACS), co-cultured in vitro and contacted with Thy0517 thymoma cells, and TLR9 signaling pathway stimulating agent (CpG-ODN) was added simultaneously, then, divided into separate B cell group (A group), B cell +thy0517 co-culture group (group B), B + cell stimulating agent group (group C), and B cells co-cultured with +thy0517 + stimulation agent group (D group). At last, to detect the expression of Breg in different groups by flow cytometry. After CpG-ODN stimulated, the expression levels of TLR-9, MyD88 and NF- kappa B were detected by Real-Time PCR and Western-Blot.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default" w:ascii="Times New Roman" w:hAnsi="Times New Roman" w:cs="Times New Roman" w:eastAsiaTheme="minorEastAsia"/>
          <w:b/>
          <w:bCs/>
          <w:szCs w:val="21"/>
          <w:lang w:val="en-US" w:eastAsia="zh-CN"/>
        </w:rPr>
      </w:pPr>
      <w:r>
        <w:rPr>
          <w:rFonts w:hint="default" w:ascii="Times New Roman" w:hAnsi="Times New Roman" w:cs="Times New Roman" w:eastAsiaTheme="minorEastAsia"/>
          <w:b/>
          <w:bCs/>
          <w:szCs w:val="21"/>
          <w:lang w:val="en-US" w:eastAsia="zh-CN"/>
        </w:rPr>
        <w:t xml:space="preserve">Results: </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Times New Roman" w:hAnsi="Times New Roman" w:cs="Times New Roman"/>
          <w:b w:val="0"/>
          <w:bCs w:val="0"/>
          <w:szCs w:val="21"/>
          <w:lang w:val="en-US" w:eastAsia="zh-CN"/>
        </w:rPr>
      </w:pPr>
      <w:r>
        <w:rPr>
          <w:rFonts w:hint="default" w:ascii="Times New Roman" w:hAnsi="Times New Roman" w:cs="Times New Roman" w:eastAsiaTheme="minorEastAsia"/>
          <w:b w:val="0"/>
          <w:bCs w:val="0"/>
          <w:szCs w:val="21"/>
          <w:lang w:val="en-US" w:eastAsia="zh-CN"/>
        </w:rPr>
        <w:t>Breg was the most expressed in MG patients, and the level of peripheral flow cytometry was consistent with that of immunohistochemical double staining</w:t>
      </w:r>
      <w:r>
        <w:rPr>
          <w:rFonts w:hint="eastAsia" w:ascii="Times New Roman" w:hAnsi="Times New Roman" w:cs="Times New Roman"/>
          <w:b w:val="0"/>
          <w:bCs w:val="0"/>
          <w:szCs w:val="21"/>
          <w:lang w:val="en-US" w:eastAsia="zh-CN"/>
        </w:rPr>
        <w:t>;</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default" w:ascii="Times New Roman" w:hAnsi="Times New Roman" w:cs="Times New Roman" w:eastAsiaTheme="minorEastAsia"/>
          <w:b w:val="0"/>
          <w:bCs w:val="0"/>
          <w:szCs w:val="21"/>
          <w:lang w:val="en-US" w:eastAsia="zh-CN"/>
        </w:rPr>
      </w:pPr>
      <w:r>
        <w:rPr>
          <w:rFonts w:hint="default" w:ascii="Times New Roman" w:hAnsi="Times New Roman" w:cs="Times New Roman" w:eastAsiaTheme="minorEastAsia"/>
          <w:b w:val="0"/>
          <w:bCs w:val="0"/>
          <w:szCs w:val="21"/>
          <w:lang w:val="en-US" w:eastAsia="zh-CN"/>
        </w:rPr>
        <w:t xml:space="preserve">The expression of TLR9, MyD88, NF- kappa B gene and protein level in thymoma tissues increased gradually in group Control, group Tm and group MG; </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default" w:ascii="Times New Roman" w:hAnsi="Times New Roman" w:cs="Times New Roman" w:eastAsiaTheme="minorEastAsia"/>
          <w:b w:val="0"/>
          <w:bCs w:val="0"/>
          <w:szCs w:val="21"/>
          <w:lang w:val="en-US" w:eastAsia="zh-CN"/>
        </w:rPr>
      </w:pPr>
      <w:r>
        <w:rPr>
          <w:rFonts w:hint="default" w:ascii="Times New Roman" w:hAnsi="Times New Roman" w:cs="Times New Roman" w:eastAsiaTheme="minorEastAsia"/>
          <w:b w:val="0"/>
          <w:bCs w:val="0"/>
          <w:szCs w:val="21"/>
          <w:lang w:val="en-US" w:eastAsia="zh-CN"/>
        </w:rPr>
        <w:t>The co-culture of B cells in vitro and thymoma cells Thy0517 indicated that the expression of Breg gradually increased in accordance with the order of group A, B, C to group D, and the gene and protein expression levels of TLR-9, MyD88, NF- kappa B gradually increased.</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default" w:ascii="Times New Roman" w:hAnsi="Times New Roman" w:cs="Times New Roman" w:eastAsiaTheme="minorEastAsia"/>
          <w:b w:val="0"/>
          <w:bCs w:val="0"/>
          <w:szCs w:val="21"/>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default" w:ascii="Times New Roman" w:hAnsi="Times New Roman" w:cs="Times New Roman" w:eastAsiaTheme="minorEastAsia"/>
          <w:b w:val="0"/>
          <w:bCs w:val="0"/>
          <w:szCs w:val="21"/>
          <w:lang w:val="en-US" w:eastAsia="zh-CN"/>
        </w:rPr>
      </w:pPr>
      <w:r>
        <w:rPr>
          <w:rFonts w:hint="default" w:ascii="Times New Roman" w:hAnsi="Times New Roman" w:cs="Times New Roman" w:eastAsiaTheme="minorEastAsia"/>
          <w:b/>
          <w:bCs/>
          <w:szCs w:val="21"/>
          <w:lang w:val="en-US" w:eastAsia="zh-CN"/>
        </w:rPr>
        <w:t xml:space="preserve">Conclusion: </w:t>
      </w:r>
      <w:r>
        <w:rPr>
          <w:rFonts w:hint="default" w:ascii="Times New Roman" w:hAnsi="Times New Roman" w:cs="Times New Roman" w:eastAsiaTheme="minorEastAsia"/>
          <w:b w:val="0"/>
          <w:bCs w:val="0"/>
          <w:szCs w:val="21"/>
          <w:lang w:val="en-US" w:eastAsia="zh-CN"/>
        </w:rPr>
        <w:t>Thymoma may stimulate the development of Breg cells by up regulating the TLR9/MyD88/NF- kappa B signaling pathway; and Breg cells may be involved in the regulation of the pathogenesis of thymoma with myasthenia gravis.</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E83FAA"/>
    <w:multiLevelType w:val="singleLevel"/>
    <w:tmpl w:val="59E83FAA"/>
    <w:lvl w:ilvl="0" w:tentative="0">
      <w:start w:val="1"/>
      <w:numFmt w:val="decimal"/>
      <w:suff w:val="space"/>
      <w:lvlText w:val="%1."/>
      <w:lvlJc w:val="left"/>
    </w:lvl>
  </w:abstractNum>
  <w:abstractNum w:abstractNumId="1">
    <w:nsid w:val="59E83FC7"/>
    <w:multiLevelType w:val="singleLevel"/>
    <w:tmpl w:val="59E83FC7"/>
    <w:lvl w:ilvl="0" w:tentative="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4819DA"/>
    <w:rsid w:val="195055BC"/>
    <w:rsid w:val="714819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Office_10.1.0.6876_F1E327BC-269C-435d-A152-05C5408002CA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2017-10-19T05:31:00Z</dcterms:created>
  <dc:creator>Administrator</dc:creator>
  <cp:lastModifiedBy>Administrator</cp:lastModifiedBy>
  <dcterms:modified xsi:type="dcterms:W3CDTF">2017-10-19T05:54:31Z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