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B5E35" w14:textId="77777777" w:rsidR="00173BAD" w:rsidRPr="00D76950" w:rsidRDefault="00173BAD" w:rsidP="00173BAD">
      <w:pPr>
        <w:spacing w:line="292" w:lineRule="auto"/>
        <w:ind w:left="360"/>
        <w:jc w:val="center"/>
        <w:rPr>
          <w:rFonts w:asciiTheme="minorBidi" w:hAnsiTheme="minorBidi" w:cstheme="minorBidi"/>
          <w:kern w:val="24"/>
          <w:sz w:val="28"/>
          <w:szCs w:val="28"/>
        </w:rPr>
      </w:pPr>
      <w:r w:rsidRPr="00D76950">
        <w:rPr>
          <w:rFonts w:asciiTheme="minorBidi" w:eastAsiaTheme="majorEastAsia" w:hAnsiTheme="minorBidi" w:cstheme="minorBidi"/>
          <w:kern w:val="24"/>
          <w:sz w:val="28"/>
          <w:szCs w:val="28"/>
        </w:rPr>
        <w:t>Advantages of use of an evidence-based guideline in nutritional intervention for cancer cases ESPEN/ESMO 2018</w:t>
      </w:r>
    </w:p>
    <w:p w14:paraId="6E539BDC" w14:textId="77777777" w:rsidR="00C6411D" w:rsidRDefault="00C6411D" w:rsidP="005973B9">
      <w:pPr>
        <w:pStyle w:val="BodyText"/>
        <w:spacing w:before="73" w:line="198" w:lineRule="exact"/>
        <w:ind w:left="100" w:right="5987"/>
        <w:rPr>
          <w:rFonts w:ascii="Arial"/>
        </w:rPr>
      </w:pPr>
    </w:p>
    <w:p w14:paraId="188F396A" w14:textId="77777777" w:rsidR="0078738A" w:rsidRDefault="0078738A" w:rsidP="00C6411D">
      <w:pPr>
        <w:pStyle w:val="BodyText"/>
        <w:spacing w:before="73" w:line="198" w:lineRule="exact"/>
        <w:ind w:left="100" w:right="5987"/>
        <w:rPr>
          <w:rFonts w:ascii="Arial"/>
        </w:rPr>
      </w:pPr>
      <w:r>
        <w:rPr>
          <w:rFonts w:ascii="Arial"/>
        </w:rPr>
        <w:t>Dr</w:t>
      </w:r>
      <w:r w:rsidR="00131DC9">
        <w:rPr>
          <w:rFonts w:ascii="Arial"/>
        </w:rPr>
        <w:t>.</w:t>
      </w:r>
      <w:r>
        <w:rPr>
          <w:rFonts w:ascii="Arial"/>
        </w:rPr>
        <w:t xml:space="preserve"> </w:t>
      </w:r>
      <w:r w:rsidR="00C6411D">
        <w:rPr>
          <w:rFonts w:ascii="Arial"/>
        </w:rPr>
        <w:t>G. Saleh, Public Health PhD, 57375</w:t>
      </w:r>
      <w:r w:rsidR="00131DC9">
        <w:rPr>
          <w:rFonts w:ascii="Arial"/>
        </w:rPr>
        <w:t>, Egypt</w:t>
      </w:r>
      <w:r w:rsidR="005973B9">
        <w:rPr>
          <w:rFonts w:ascii="Arial"/>
        </w:rPr>
        <w:t xml:space="preserve"> </w:t>
      </w:r>
    </w:p>
    <w:p w14:paraId="499A5FF7" w14:textId="77777777" w:rsidR="00AE3E37" w:rsidRDefault="00AE3E37">
      <w:pPr>
        <w:pStyle w:val="BodyText"/>
        <w:spacing w:before="3"/>
        <w:rPr>
          <w:rFonts w:ascii="Arial"/>
          <w:sz w:val="21"/>
        </w:rPr>
      </w:pPr>
    </w:p>
    <w:p w14:paraId="4260530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45D4A1F" w14:textId="7170B35D"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0B9DE861" w14:textId="43E892CD" w:rsidR="00173BAD" w:rsidRDefault="00173BAD">
      <w:pPr>
        <w:pStyle w:val="Heading3"/>
        <w:spacing w:before="147"/>
        <w:jc w:val="both"/>
        <w:rPr>
          <w:color w:val="BF5A14"/>
        </w:rPr>
      </w:pPr>
    </w:p>
    <w:p w14:paraId="720555E1" w14:textId="77777777" w:rsidR="00173BAD" w:rsidRPr="00D76950" w:rsidRDefault="00173BAD" w:rsidP="00173BAD">
      <w:pPr>
        <w:spacing w:line="292" w:lineRule="auto"/>
        <w:ind w:left="360"/>
        <w:jc w:val="both"/>
        <w:rPr>
          <w:rFonts w:asciiTheme="minorBidi" w:hAnsiTheme="minorBidi" w:cstheme="minorBidi"/>
          <w:sz w:val="28"/>
          <w:szCs w:val="28"/>
        </w:rPr>
      </w:pPr>
      <w:r w:rsidRPr="00D76950">
        <w:rPr>
          <w:rFonts w:asciiTheme="minorBidi" w:hAnsiTheme="minorBidi" w:cstheme="minorBidi"/>
          <w:kern w:val="24"/>
          <w:sz w:val="28"/>
          <w:szCs w:val="28"/>
        </w:rPr>
        <w:t xml:space="preserve">Malnutrition and loss of muscle mass are frequent in cancer patients and have a negative effect on clinical outcome. </w:t>
      </w:r>
    </w:p>
    <w:p w14:paraId="51BC7EDE" w14:textId="77777777" w:rsidR="00173BAD" w:rsidRPr="00D76950" w:rsidRDefault="00173BAD" w:rsidP="00173BAD">
      <w:pPr>
        <w:ind w:left="360"/>
        <w:rPr>
          <w:rFonts w:asciiTheme="minorBidi" w:eastAsiaTheme="minorEastAsia" w:hAnsiTheme="minorBidi" w:cstheme="minorBidi"/>
          <w:kern w:val="24"/>
          <w:sz w:val="28"/>
          <w:szCs w:val="28"/>
        </w:rPr>
      </w:pPr>
      <w:r w:rsidRPr="00D76950">
        <w:rPr>
          <w:rFonts w:asciiTheme="minorBidi" w:eastAsiaTheme="majorEastAsia" w:hAnsiTheme="minorBidi" w:cstheme="minorBidi"/>
          <w:kern w:val="24"/>
          <w:sz w:val="28"/>
          <w:szCs w:val="28"/>
        </w:rPr>
        <w:t xml:space="preserve">Advantages: </w:t>
      </w:r>
      <w:r w:rsidRPr="00D76950">
        <w:rPr>
          <w:rFonts w:asciiTheme="minorBidi" w:eastAsiaTheme="minorEastAsia" w:hAnsiTheme="minorBidi" w:cstheme="minorBidi"/>
          <w:kern w:val="24"/>
          <w:sz w:val="28"/>
          <w:szCs w:val="28"/>
        </w:rPr>
        <w:t>Prevention and control of malnutrition during and after the course of the disease. Overcome nutritional challenges and side effects of the treatment. Increase awareness of the patient and the care giver about the importance of nutrition. Regular monitoring of the nutritional status of the patient during the course of the treatment.  Guarantee normal growth during the course of the disease for infants and children. Decrease the mean time span of the patient at the hospital.</w:t>
      </w:r>
    </w:p>
    <w:p w14:paraId="475BDFD7" w14:textId="77777777" w:rsidR="00173BAD" w:rsidRPr="00D76950" w:rsidRDefault="00173BAD" w:rsidP="00173BAD">
      <w:pPr>
        <w:pStyle w:val="NormalWeb"/>
        <w:spacing w:before="134" w:beforeAutospacing="0" w:after="0" w:afterAutospacing="0"/>
        <w:rPr>
          <w:rFonts w:asciiTheme="minorBidi" w:eastAsiaTheme="minorEastAsia" w:hAnsiTheme="minorBidi" w:cstheme="minorBidi"/>
          <w:kern w:val="24"/>
          <w:sz w:val="28"/>
          <w:szCs w:val="28"/>
        </w:rPr>
      </w:pPr>
    </w:p>
    <w:p w14:paraId="2AA7291A" w14:textId="77777777" w:rsidR="00173BAD" w:rsidRPr="00D76950" w:rsidRDefault="00173BAD" w:rsidP="00173BAD">
      <w:pPr>
        <w:pStyle w:val="NormalWeb"/>
        <w:spacing w:before="134" w:beforeAutospacing="0" w:after="0" w:afterAutospacing="0"/>
        <w:rPr>
          <w:rFonts w:asciiTheme="minorBidi" w:eastAsiaTheme="minorEastAsia" w:hAnsiTheme="minorBidi" w:cstheme="minorBidi"/>
          <w:kern w:val="24"/>
          <w:sz w:val="28"/>
          <w:szCs w:val="28"/>
        </w:rPr>
      </w:pPr>
      <w:r w:rsidRPr="00D76950">
        <w:rPr>
          <w:rFonts w:asciiTheme="minorBidi" w:eastAsiaTheme="minorEastAsia" w:hAnsiTheme="minorBidi" w:cstheme="minorBidi"/>
          <w:kern w:val="24"/>
          <w:sz w:val="28"/>
          <w:szCs w:val="28"/>
        </w:rPr>
        <w:t>This Guideline is intended to be used by: Clinical oncologists, nutritionists, health care providers involved in supportive care of cancer patients.</w:t>
      </w:r>
    </w:p>
    <w:p w14:paraId="69E096CC" w14:textId="77777777" w:rsidR="00173BAD" w:rsidRPr="00D76950" w:rsidRDefault="00173BAD" w:rsidP="00173BAD">
      <w:pPr>
        <w:pStyle w:val="NormalWeb"/>
        <w:spacing w:before="134" w:beforeAutospacing="0" w:after="0" w:afterAutospacing="0"/>
        <w:rPr>
          <w:rFonts w:asciiTheme="minorBidi" w:hAnsiTheme="minorBidi" w:cstheme="minorBidi"/>
          <w:sz w:val="28"/>
          <w:szCs w:val="28"/>
        </w:rPr>
      </w:pPr>
      <w:r w:rsidRPr="00D76950">
        <w:rPr>
          <w:rFonts w:asciiTheme="minorBidi" w:eastAsiaTheme="minorEastAsia" w:hAnsiTheme="minorBidi" w:cstheme="minorBidi"/>
          <w:kern w:val="24"/>
          <w:sz w:val="28"/>
          <w:szCs w:val="28"/>
        </w:rPr>
        <w:t xml:space="preserve">Plan of intervention: </w:t>
      </w:r>
      <w:r w:rsidRPr="00D76950">
        <w:rPr>
          <w:rFonts w:asciiTheme="minorBidi" w:hAnsiTheme="minorBidi" w:cstheme="minorBidi"/>
          <w:kern w:val="24"/>
          <w:sz w:val="28"/>
          <w:szCs w:val="28"/>
        </w:rPr>
        <w:t>Psychosocial support and counselling. Screening and assessment. Route of feeding. Calculation of nutritional requirements. Immunonutrition.N3-fatty acids. Oral Nutrition Supplementation.</w:t>
      </w:r>
    </w:p>
    <w:p w14:paraId="6805ED78" w14:textId="77777777" w:rsidR="00173BAD" w:rsidRPr="00D76950" w:rsidRDefault="00173BAD" w:rsidP="00173BAD">
      <w:pPr>
        <w:spacing w:line="276" w:lineRule="auto"/>
        <w:ind w:left="360"/>
        <w:jc w:val="both"/>
        <w:rPr>
          <w:rFonts w:asciiTheme="minorBidi" w:hAnsiTheme="minorBidi" w:cstheme="minorBidi"/>
          <w:sz w:val="28"/>
          <w:szCs w:val="28"/>
        </w:rPr>
      </w:pPr>
      <w:r w:rsidRPr="00D76950">
        <w:rPr>
          <w:rFonts w:asciiTheme="minorBidi" w:hAnsiTheme="minorBidi" w:cstheme="minorBidi"/>
          <w:kern w:val="24"/>
          <w:sz w:val="28"/>
          <w:szCs w:val="28"/>
        </w:rPr>
        <w:t xml:space="preserve">                Nutritional counseling should be achieved by a health care professional, aiming to increase the awareness of the patient about the importance of nutritional intervention, </w:t>
      </w:r>
      <w:r w:rsidRPr="00D76950">
        <w:rPr>
          <w:rFonts w:asciiTheme="minorBidi" w:hAnsiTheme="minorBidi" w:cstheme="minorBidi"/>
          <w:kern w:val="24"/>
          <w:sz w:val="28"/>
          <w:szCs w:val="28"/>
        </w:rPr>
        <w:t xml:space="preserve">Timing: At diagnosis, and throughout the journey of treatment. </w:t>
      </w:r>
    </w:p>
    <w:p w14:paraId="4673FADF" w14:textId="77777777" w:rsidR="00173BAD" w:rsidRPr="00D76950" w:rsidRDefault="00173BAD" w:rsidP="00173BAD">
      <w:pPr>
        <w:ind w:left="360"/>
        <w:rPr>
          <w:rFonts w:asciiTheme="minorBidi" w:eastAsiaTheme="minorEastAsia" w:hAnsiTheme="minorBidi" w:cstheme="minorBidi"/>
          <w:kern w:val="24"/>
          <w:sz w:val="28"/>
          <w:szCs w:val="28"/>
        </w:rPr>
      </w:pPr>
      <w:r w:rsidRPr="00D76950">
        <w:rPr>
          <w:rFonts w:asciiTheme="minorBidi" w:eastAsiaTheme="minorEastAsia" w:hAnsiTheme="minorBidi" w:cstheme="minorBidi"/>
          <w:kern w:val="24"/>
          <w:sz w:val="28"/>
          <w:szCs w:val="28"/>
        </w:rPr>
        <w:t> Nutritional screening and assessment aim</w:t>
      </w:r>
      <w:r w:rsidRPr="00D76950">
        <w:rPr>
          <w:rFonts w:asciiTheme="minorBidi" w:eastAsiaTheme="minorEastAsia" w:hAnsiTheme="minorBidi" w:cstheme="minorBidi"/>
          <w:i/>
          <w:iCs/>
          <w:kern w:val="24"/>
          <w:sz w:val="28"/>
          <w:szCs w:val="28"/>
          <w:u w:val="single"/>
        </w:rPr>
        <w:t xml:space="preserve"> </w:t>
      </w:r>
      <w:r w:rsidRPr="00D76950">
        <w:rPr>
          <w:rFonts w:asciiTheme="minorBidi" w:eastAsiaTheme="minorEastAsia" w:hAnsiTheme="minorBidi" w:cstheme="minorBidi"/>
          <w:kern w:val="24"/>
          <w:sz w:val="28"/>
          <w:szCs w:val="28"/>
        </w:rPr>
        <w:t xml:space="preserve">to identify patients at risk of malnutrition to start early &amp; prompt nutritional </w:t>
      </w:r>
      <w:proofErr w:type="gramStart"/>
      <w:r w:rsidRPr="00D76950">
        <w:rPr>
          <w:rFonts w:asciiTheme="minorBidi" w:eastAsiaTheme="minorEastAsia" w:hAnsiTheme="minorBidi" w:cstheme="minorBidi"/>
          <w:kern w:val="24"/>
          <w:sz w:val="28"/>
          <w:szCs w:val="28"/>
        </w:rPr>
        <w:t>plan .</w:t>
      </w:r>
      <w:proofErr w:type="gramEnd"/>
    </w:p>
    <w:p w14:paraId="6A6C1487" w14:textId="77777777" w:rsidR="00173BAD" w:rsidRPr="00D76950" w:rsidRDefault="00173BAD" w:rsidP="00173BAD">
      <w:pPr>
        <w:pStyle w:val="ListParagraph"/>
        <w:widowControl/>
        <w:numPr>
          <w:ilvl w:val="0"/>
          <w:numId w:val="10"/>
        </w:numPr>
        <w:spacing w:before="0" w:line="240" w:lineRule="auto"/>
        <w:contextualSpacing/>
        <w:jc w:val="left"/>
        <w:rPr>
          <w:rFonts w:ascii="Arial" w:hAnsi="Arial" w:cs="Arial"/>
          <w:sz w:val="28"/>
          <w:szCs w:val="28"/>
        </w:rPr>
      </w:pPr>
      <w:r w:rsidRPr="00D76950">
        <w:rPr>
          <w:rFonts w:asciiTheme="minorBidi" w:eastAsiaTheme="minorEastAsia" w:hAnsiTheme="minorBidi" w:cstheme="minorBidi"/>
          <w:kern w:val="24"/>
          <w:sz w:val="28"/>
          <w:szCs w:val="28"/>
        </w:rPr>
        <w:t xml:space="preserve">Requirements calculation: Energy: Total Energy Expenditure may be predicted to be 25-30 kcal/kg depending on the patient's performance </w:t>
      </w:r>
      <w:proofErr w:type="gramStart"/>
      <w:r w:rsidRPr="00D76950">
        <w:rPr>
          <w:rFonts w:asciiTheme="minorBidi" w:eastAsiaTheme="minorEastAsia" w:hAnsiTheme="minorBidi" w:cstheme="minorBidi"/>
          <w:kern w:val="24"/>
          <w:sz w:val="28"/>
          <w:szCs w:val="28"/>
        </w:rPr>
        <w:t>status</w:t>
      </w:r>
      <w:r w:rsidRPr="00D76950">
        <w:rPr>
          <w:rFonts w:ascii="Arabic Typesetting" w:eastAsiaTheme="minorEastAsia" w:hAnsi="Arabic Typesetting" w:cs="Arabic Typesetting"/>
          <w:color w:val="000000" w:themeColor="text1"/>
          <w:kern w:val="24"/>
          <w:sz w:val="64"/>
          <w:szCs w:val="64"/>
        </w:rPr>
        <w:t xml:space="preserve"> </w:t>
      </w:r>
      <w:r>
        <w:rPr>
          <w:rFonts w:ascii="Arabic Typesetting" w:eastAsiaTheme="minorEastAsia" w:hAnsi="Arabic Typesetting" w:cs="Arabic Typesetting"/>
          <w:color w:val="000000" w:themeColor="text1"/>
          <w:kern w:val="24"/>
          <w:sz w:val="64"/>
          <w:szCs w:val="64"/>
        </w:rPr>
        <w:t>,</w:t>
      </w:r>
      <w:proofErr w:type="gramEnd"/>
      <w:r>
        <w:rPr>
          <w:rFonts w:ascii="Arabic Typesetting" w:eastAsiaTheme="minorEastAsia" w:hAnsi="Arabic Typesetting" w:cs="Arabic Typesetting"/>
          <w:color w:val="000000" w:themeColor="text1"/>
          <w:kern w:val="24"/>
          <w:sz w:val="64"/>
          <w:szCs w:val="64"/>
        </w:rPr>
        <w:t xml:space="preserve"> </w:t>
      </w:r>
      <w:r w:rsidRPr="00D76950">
        <w:rPr>
          <w:rFonts w:ascii="Arial" w:eastAsiaTheme="minorEastAsia" w:hAnsi="Arial" w:cs="Arial"/>
          <w:color w:val="000000" w:themeColor="text1"/>
          <w:kern w:val="24"/>
          <w:sz w:val="28"/>
          <w:szCs w:val="28"/>
        </w:rPr>
        <w:t xml:space="preserve">and the exposure to stress factors . </w:t>
      </w:r>
    </w:p>
    <w:p w14:paraId="4F5C5EE0" w14:textId="77777777" w:rsidR="00173BAD" w:rsidRPr="00D76950" w:rsidRDefault="00173BAD" w:rsidP="00173BAD">
      <w:pPr>
        <w:ind w:left="360"/>
        <w:textAlignment w:val="bottom"/>
        <w:rPr>
          <w:rFonts w:asciiTheme="minorBidi" w:hAnsiTheme="minorBidi" w:cstheme="minorBidi"/>
          <w:sz w:val="28"/>
          <w:szCs w:val="28"/>
        </w:rPr>
      </w:pPr>
      <w:r>
        <w:rPr>
          <w:rFonts w:asciiTheme="minorBidi" w:eastAsiaTheme="minorEastAsia" w:hAnsiTheme="minorBidi"/>
          <w:kern w:val="24"/>
          <w:sz w:val="28"/>
          <w:szCs w:val="28"/>
        </w:rPr>
        <w:t xml:space="preserve">, </w:t>
      </w:r>
      <w:r w:rsidRPr="00D76950">
        <w:rPr>
          <w:rFonts w:asciiTheme="minorBidi" w:eastAsiaTheme="minorEastAsia" w:hAnsiTheme="minorBidi" w:cstheme="minorBidi"/>
          <w:kern w:val="24"/>
          <w:sz w:val="28"/>
          <w:szCs w:val="28"/>
        </w:rPr>
        <w:t xml:space="preserve">. </w:t>
      </w:r>
      <w:r w:rsidRPr="00D76950">
        <w:rPr>
          <w:rFonts w:asciiTheme="minorBidi" w:hAnsiTheme="minorBidi" w:cstheme="minorBidi"/>
          <w:kern w:val="24"/>
          <w:sz w:val="28"/>
          <w:szCs w:val="28"/>
        </w:rPr>
        <w:t xml:space="preserve">Protein intake should be above 1 g/kg/day and, if possible, up to 1.5 g/kg/day, and may be higher in infants and children. </w:t>
      </w:r>
    </w:p>
    <w:p w14:paraId="25B09D6E" w14:textId="77777777" w:rsidR="00171D05" w:rsidRPr="00171D05" w:rsidRDefault="00173BAD" w:rsidP="00173BAD">
      <w:pPr>
        <w:ind w:left="360"/>
        <w:rPr>
          <w:rFonts w:asciiTheme="minorBidi" w:hAnsiTheme="minorBidi" w:cstheme="minorBidi"/>
          <w:sz w:val="28"/>
          <w:szCs w:val="28"/>
        </w:rPr>
      </w:pPr>
      <w:r w:rsidRPr="00D76950">
        <w:rPr>
          <w:rFonts w:asciiTheme="minorBidi" w:hAnsiTheme="minorBidi" w:cstheme="minorBidi"/>
          <w:sz w:val="28"/>
          <w:szCs w:val="28"/>
        </w:rPr>
        <w:t xml:space="preserve">Carbohydrates/fat ratio </w:t>
      </w:r>
      <w:r w:rsidRPr="00171D05">
        <w:rPr>
          <w:rFonts w:asciiTheme="minorBidi" w:hAnsiTheme="minorBidi" w:cstheme="minorBidi"/>
          <w:sz w:val="28"/>
          <w:szCs w:val="28"/>
        </w:rPr>
        <w:t>There are addi</w:t>
      </w:r>
      <w:r w:rsidRPr="00171D05">
        <w:rPr>
          <w:rFonts w:asciiTheme="minorBidi" w:hAnsiTheme="minorBidi" w:cstheme="minorBidi"/>
          <w:sz w:val="28"/>
          <w:szCs w:val="28"/>
        </w:rPr>
        <w:t xml:space="preserve">tional advantages to replacing glucose with lipids in parenteral nutrition regimens. </w:t>
      </w:r>
      <w:r w:rsidRPr="00D76950">
        <w:rPr>
          <w:rFonts w:asciiTheme="minorBidi" w:hAnsiTheme="minorBidi" w:cstheme="minorBidi"/>
          <w:sz w:val="28"/>
          <w:szCs w:val="28"/>
        </w:rPr>
        <w:t>Supplementation with vitamins and minerals should be given with the RDA, and to avoid high doses, taking in consideration the drug interaction with the treatment protocol of cancer.</w:t>
      </w:r>
      <w:r w:rsidRPr="00D76950">
        <w:rPr>
          <w:rFonts w:asciiTheme="minorBidi" w:eastAsia="Times New Roman" w:hAnsiTheme="minorBidi" w:cstheme="minorBidi"/>
          <w:kern w:val="24"/>
          <w:sz w:val="28"/>
          <w:szCs w:val="28"/>
        </w:rPr>
        <w:t xml:space="preserve"> </w:t>
      </w:r>
    </w:p>
    <w:p w14:paraId="03944794" w14:textId="77777777" w:rsidR="00173BAD" w:rsidRPr="004234D8" w:rsidRDefault="00173BAD" w:rsidP="00173BAD">
      <w:pPr>
        <w:ind w:left="360"/>
        <w:rPr>
          <w:sz w:val="28"/>
          <w:szCs w:val="28"/>
        </w:rPr>
      </w:pPr>
    </w:p>
    <w:p w14:paraId="6A8A983C" w14:textId="77777777" w:rsidR="00173BAD" w:rsidRPr="00276941" w:rsidRDefault="00173BAD" w:rsidP="00173BAD">
      <w:pPr>
        <w:rPr>
          <w:rFonts w:ascii="Times New Roman" w:eastAsia="Times New Roman" w:hAnsi="Times New Roman" w:cs="Times New Roman"/>
          <w:sz w:val="28"/>
          <w:szCs w:val="28"/>
        </w:rPr>
      </w:pPr>
    </w:p>
    <w:p w14:paraId="61FF1AB9" w14:textId="77777777" w:rsidR="00173BAD" w:rsidRPr="004234D8" w:rsidRDefault="00173BAD" w:rsidP="00173BAD">
      <w:pPr>
        <w:ind w:left="360"/>
        <w:rPr>
          <w:sz w:val="28"/>
          <w:szCs w:val="28"/>
        </w:rPr>
      </w:pPr>
    </w:p>
    <w:p w14:paraId="12B11EC0" w14:textId="77777777" w:rsidR="00173BAD" w:rsidRPr="004234D8" w:rsidRDefault="00173BAD" w:rsidP="00173BAD">
      <w:pPr>
        <w:pStyle w:val="NormalWeb"/>
        <w:spacing w:before="96" w:beforeAutospacing="0" w:after="0" w:afterAutospacing="0"/>
        <w:rPr>
          <w:sz w:val="28"/>
          <w:szCs w:val="28"/>
        </w:rPr>
      </w:pPr>
    </w:p>
    <w:p w14:paraId="2FF562AC" w14:textId="77777777" w:rsidR="00173BAD" w:rsidRPr="004234D8" w:rsidRDefault="00173BAD" w:rsidP="00173BAD">
      <w:pPr>
        <w:rPr>
          <w:sz w:val="28"/>
          <w:szCs w:val="28"/>
        </w:rPr>
      </w:pPr>
    </w:p>
    <w:p w14:paraId="4C5499D7" w14:textId="649E9F00" w:rsidR="00173BAD" w:rsidRDefault="00173BAD">
      <w:pPr>
        <w:pStyle w:val="Heading3"/>
        <w:spacing w:before="147"/>
        <w:jc w:val="both"/>
        <w:rPr>
          <w:color w:val="BF5A14"/>
        </w:rPr>
      </w:pPr>
    </w:p>
    <w:p w14:paraId="3446B14C" w14:textId="170C7279" w:rsidR="00173BAD" w:rsidRDefault="00173BAD">
      <w:pPr>
        <w:pStyle w:val="Heading3"/>
        <w:spacing w:before="147"/>
        <w:jc w:val="both"/>
        <w:rPr>
          <w:color w:val="BF5A14"/>
        </w:rPr>
      </w:pPr>
    </w:p>
    <w:p w14:paraId="539058D5" w14:textId="4D51967D" w:rsidR="00173BAD" w:rsidRDefault="00173BAD">
      <w:pPr>
        <w:pStyle w:val="Heading3"/>
        <w:spacing w:before="147"/>
        <w:jc w:val="both"/>
        <w:rPr>
          <w:color w:val="BF5A14"/>
        </w:rPr>
      </w:pPr>
    </w:p>
    <w:p w14:paraId="4E07224F" w14:textId="5805949B" w:rsidR="00173BAD" w:rsidRDefault="00173BAD">
      <w:pPr>
        <w:pStyle w:val="Heading3"/>
        <w:spacing w:before="147"/>
        <w:jc w:val="both"/>
        <w:rPr>
          <w:color w:val="BF5A14"/>
        </w:rPr>
      </w:pPr>
    </w:p>
    <w:p w14:paraId="6922F61B" w14:textId="7D486BBB" w:rsidR="00173BAD" w:rsidRDefault="00173BAD">
      <w:pPr>
        <w:pStyle w:val="Heading3"/>
        <w:spacing w:before="147"/>
        <w:jc w:val="both"/>
        <w:rPr>
          <w:color w:val="BF5A14"/>
        </w:rPr>
      </w:pPr>
    </w:p>
    <w:p w14:paraId="5E59E3C9" w14:textId="77777777" w:rsidR="00173BAD" w:rsidRDefault="00173BAD">
      <w:pPr>
        <w:pStyle w:val="Heading3"/>
        <w:spacing w:before="147"/>
        <w:jc w:val="both"/>
        <w:rPr>
          <w:color w:val="BF5A14"/>
        </w:rPr>
      </w:pPr>
      <w:bookmarkStart w:id="0" w:name="_GoBack"/>
      <w:bookmarkEnd w:id="0"/>
    </w:p>
    <w:p w14:paraId="737CA0BA" w14:textId="77777777" w:rsidR="00AE3E37" w:rsidRDefault="00A9710C">
      <w:pPr>
        <w:pStyle w:val="Heading3"/>
        <w:spacing w:before="74"/>
        <w:rPr>
          <w:color w:val="BF5A14"/>
        </w:rPr>
      </w:pPr>
      <w:r>
        <w:rPr>
          <w:color w:val="BF5A14"/>
        </w:rPr>
        <w:lastRenderedPageBreak/>
        <w:t>Image</w:t>
      </w:r>
    </w:p>
    <w:p w14:paraId="0F2EEA1F" w14:textId="77777777" w:rsidR="0097773A" w:rsidRDefault="0097773A">
      <w:pPr>
        <w:pStyle w:val="Heading3"/>
        <w:spacing w:before="74"/>
        <w:rPr>
          <w:color w:val="BF5A14"/>
        </w:rPr>
      </w:pPr>
    </w:p>
    <w:p w14:paraId="15D86621" w14:textId="33F41A64" w:rsidR="0097773A" w:rsidRDefault="00173BAD">
      <w:pPr>
        <w:pStyle w:val="Heading3"/>
        <w:spacing w:before="74"/>
        <w:rPr>
          <w:color w:val="BF5A14"/>
        </w:rPr>
      </w:pPr>
      <w:r w:rsidRPr="00173BAD">
        <w:rPr>
          <w:color w:val="BF5A14"/>
        </w:rPr>
        <w:drawing>
          <wp:inline distT="0" distB="0" distL="0" distR="0" wp14:anchorId="36A5379C" wp14:editId="27539A42">
            <wp:extent cx="3165475" cy="2374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374265"/>
                    </a:xfrm>
                    <a:prstGeom prst="rect">
                      <a:avLst/>
                    </a:prstGeom>
                  </pic:spPr>
                </pic:pic>
              </a:graphicData>
            </a:graphic>
          </wp:inline>
        </w:drawing>
      </w:r>
    </w:p>
    <w:p w14:paraId="29D2C2AD" w14:textId="77777777" w:rsidR="0097773A" w:rsidRDefault="0097773A">
      <w:pPr>
        <w:pStyle w:val="Heading3"/>
        <w:spacing w:before="74"/>
      </w:pPr>
    </w:p>
    <w:p w14:paraId="158333A7" w14:textId="77777777" w:rsidR="00AE3E37" w:rsidRDefault="00AE3E37">
      <w:pPr>
        <w:pStyle w:val="BodyText"/>
        <w:spacing w:before="2"/>
        <w:rPr>
          <w:rFonts w:ascii="Arial"/>
          <w:b/>
          <w:sz w:val="16"/>
        </w:rPr>
      </w:pPr>
    </w:p>
    <w:p w14:paraId="6561481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0184E16" w14:textId="77777777" w:rsidR="00AE3E37" w:rsidRPr="008756E6" w:rsidRDefault="00AE3E37" w:rsidP="008756E6">
      <w:pPr>
        <w:tabs>
          <w:tab w:val="left" w:pos="384"/>
        </w:tabs>
        <w:ind w:right="117"/>
      </w:pPr>
    </w:p>
    <w:p w14:paraId="1F787BC2" w14:textId="77777777" w:rsidR="00424F00" w:rsidRPr="008E2DAE" w:rsidRDefault="008756E6" w:rsidP="00424F00">
      <w:pPr>
        <w:widowControl/>
        <w:numPr>
          <w:ilvl w:val="0"/>
          <w:numId w:val="4"/>
        </w:numPr>
        <w:rPr>
          <w:rFonts w:ascii="Arabic Typesetting" w:hAnsi="Arabic Typesetting" w:cs="Arabic Typesetting"/>
          <w:sz w:val="24"/>
          <w:szCs w:val="24"/>
        </w:rPr>
      </w:pPr>
      <w:r w:rsidRPr="008E2DAE">
        <w:rPr>
          <w:rFonts w:ascii="Calibri" w:hAnsi="Calibri"/>
          <w:sz w:val="24"/>
          <w:szCs w:val="24"/>
        </w:rPr>
        <w:t xml:space="preserve">   </w:t>
      </w:r>
      <w:r w:rsidR="00424F00" w:rsidRPr="008E2DAE">
        <w:rPr>
          <w:rFonts w:ascii="Arabic Typesetting" w:hAnsi="Arabic Typesetting" w:cs="Arabic Typesetting"/>
          <w:kern w:val="36"/>
          <w:sz w:val="24"/>
          <w:szCs w:val="24"/>
        </w:rPr>
        <w:t xml:space="preserve">Vitamin D deficiency and insufficiency in Africa and the Middle East, despite year-round sunny days. </w:t>
      </w:r>
      <w:hyperlink r:id="rId10" w:tooltip="South African medical journal = Suid-Afrikaanse tydskrif vir geneeskunde." w:history="1">
        <w:r w:rsidR="00424F00" w:rsidRPr="008E2DAE">
          <w:rPr>
            <w:rFonts w:ascii="Arabic Typesetting" w:hAnsi="Arabic Typesetting" w:cs="Arabic Typesetting"/>
            <w:sz w:val="24"/>
            <w:szCs w:val="24"/>
          </w:rPr>
          <w:t xml:space="preserve">S </w:t>
        </w:r>
        <w:proofErr w:type="spellStart"/>
        <w:r w:rsidR="00424F00" w:rsidRPr="008E2DAE">
          <w:rPr>
            <w:rFonts w:ascii="Arabic Typesetting" w:hAnsi="Arabic Typesetting" w:cs="Arabic Typesetting"/>
            <w:sz w:val="24"/>
            <w:szCs w:val="24"/>
          </w:rPr>
          <w:t>Afr</w:t>
        </w:r>
        <w:proofErr w:type="spellEnd"/>
        <w:r w:rsidR="00424F00" w:rsidRPr="008E2DAE">
          <w:rPr>
            <w:rFonts w:ascii="Arabic Typesetting" w:hAnsi="Arabic Typesetting" w:cs="Arabic Typesetting"/>
            <w:sz w:val="24"/>
            <w:szCs w:val="24"/>
          </w:rPr>
          <w:t xml:space="preserve"> Med J.</w:t>
        </w:r>
      </w:hyperlink>
      <w:r w:rsidR="00424F00" w:rsidRPr="008E2DAE">
        <w:rPr>
          <w:rFonts w:ascii="Arabic Typesetting" w:hAnsi="Arabic Typesetting" w:cs="Arabic Typesetting"/>
          <w:sz w:val="24"/>
          <w:szCs w:val="24"/>
        </w:rPr>
        <w:t xml:space="preserve"> 2015 Jul;105(7):603-5.</w:t>
      </w:r>
    </w:p>
    <w:p w14:paraId="6C308C2D" w14:textId="77777777" w:rsidR="00424F00" w:rsidRPr="008E2DAE" w:rsidRDefault="00424F00" w:rsidP="00424F00">
      <w:pPr>
        <w:ind w:left="720"/>
        <w:rPr>
          <w:rFonts w:ascii="Arabic Typesetting" w:hAnsi="Arabic Typesetting" w:cs="Arabic Typesetting"/>
          <w:sz w:val="24"/>
          <w:szCs w:val="24"/>
        </w:rPr>
      </w:pPr>
    </w:p>
    <w:p w14:paraId="1D7E9E39" w14:textId="77777777" w:rsidR="00424F00" w:rsidRPr="008E2DAE" w:rsidRDefault="00424F00" w:rsidP="00424F00">
      <w:pPr>
        <w:widowControl/>
        <w:numPr>
          <w:ilvl w:val="0"/>
          <w:numId w:val="4"/>
        </w:numPr>
        <w:spacing w:before="100" w:beforeAutospacing="1" w:after="100" w:afterAutospacing="1" w:line="259" w:lineRule="auto"/>
        <w:contextualSpacing/>
        <w:outlineLvl w:val="0"/>
        <w:rPr>
          <w:rFonts w:ascii="Arabic Typesetting" w:hAnsi="Arabic Typesetting" w:cs="Arabic Typesetting"/>
          <w:bCs/>
          <w:kern w:val="36"/>
          <w:sz w:val="24"/>
          <w:szCs w:val="24"/>
        </w:rPr>
      </w:pPr>
      <w:r w:rsidRPr="008E2DAE">
        <w:rPr>
          <w:rFonts w:ascii="Arabic Typesetting" w:hAnsi="Arabic Typesetting" w:cs="Arabic Typesetting"/>
          <w:bCs/>
          <w:kern w:val="36"/>
          <w:sz w:val="24"/>
          <w:szCs w:val="24"/>
        </w:rPr>
        <w:t xml:space="preserve">Factors associated with early growth in Egyptian infants: implications for addressing the dual burden of malnutrition, </w:t>
      </w:r>
      <w:hyperlink r:id="rId11" w:history="1">
        <w:r w:rsidRPr="008E2DAE">
          <w:rPr>
            <w:rFonts w:ascii="Arabic Typesetting" w:eastAsia="Calibri" w:hAnsi="Arabic Typesetting" w:cs="Arabic Typesetting"/>
            <w:sz w:val="24"/>
            <w:szCs w:val="24"/>
          </w:rPr>
          <w:t xml:space="preserve">Maternal Child </w:t>
        </w:r>
        <w:proofErr w:type="spellStart"/>
        <w:r w:rsidRPr="008E2DAE">
          <w:rPr>
            <w:rFonts w:ascii="Arabic Typesetting" w:eastAsia="Calibri" w:hAnsi="Arabic Typesetting" w:cs="Arabic Typesetting"/>
            <w:sz w:val="24"/>
            <w:szCs w:val="24"/>
          </w:rPr>
          <w:t>Nutr</w:t>
        </w:r>
        <w:proofErr w:type="spellEnd"/>
      </w:hyperlink>
      <w:r w:rsidRPr="008E2DAE">
        <w:rPr>
          <w:rFonts w:ascii="Arabic Typesetting" w:eastAsia="Calibri" w:hAnsi="Arabic Typesetting" w:cs="Arabic Typesetting"/>
          <w:sz w:val="24"/>
          <w:szCs w:val="24"/>
        </w:rPr>
        <w:t>. 2016 Jan; 12(1): 139–151.</w:t>
      </w:r>
    </w:p>
    <w:p w14:paraId="1D88BE8F" w14:textId="77777777" w:rsidR="00424F00" w:rsidRPr="008E2DAE" w:rsidRDefault="00424F00" w:rsidP="00424F00">
      <w:pPr>
        <w:tabs>
          <w:tab w:val="right" w:pos="709"/>
          <w:tab w:val="right" w:pos="993"/>
        </w:tabs>
        <w:spacing w:after="160" w:line="480" w:lineRule="auto"/>
        <w:ind w:left="360"/>
        <w:jc w:val="both"/>
        <w:rPr>
          <w:rFonts w:ascii="Arabic Typesetting" w:hAnsi="Arabic Typesetting" w:cs="Arabic Typesetting"/>
          <w:bCs/>
          <w:kern w:val="36"/>
          <w:sz w:val="24"/>
          <w:szCs w:val="24"/>
        </w:rPr>
      </w:pPr>
    </w:p>
    <w:p w14:paraId="2203433A" w14:textId="77777777" w:rsidR="00424F00" w:rsidRPr="008E2DAE" w:rsidRDefault="00424F00" w:rsidP="00424F00">
      <w:pPr>
        <w:widowControl/>
        <w:numPr>
          <w:ilvl w:val="0"/>
          <w:numId w:val="4"/>
        </w:numPr>
        <w:spacing w:before="100" w:beforeAutospacing="1" w:after="100" w:afterAutospacing="1" w:line="480" w:lineRule="auto"/>
        <w:contextualSpacing/>
        <w:outlineLvl w:val="1"/>
        <w:rPr>
          <w:rFonts w:ascii="Arabic Typesetting" w:hAnsi="Arabic Typesetting" w:cs="Arabic Typesetting"/>
          <w:bCs/>
          <w:sz w:val="24"/>
          <w:szCs w:val="24"/>
        </w:rPr>
      </w:pPr>
      <w:r w:rsidRPr="008E2DAE">
        <w:rPr>
          <w:rFonts w:ascii="Arabic Typesetting" w:hAnsi="Arabic Typesetting" w:cs="Arabic Typesetting"/>
          <w:bCs/>
          <w:sz w:val="24"/>
          <w:szCs w:val="24"/>
        </w:rPr>
        <w:t>Program considerations for integration of nutrition and family planning: Beliefs around maternal diet and breastfeeding within the context of the nutrition transition in Egypt. May 2017.</w:t>
      </w:r>
      <w:r w:rsidRPr="008E2DAE">
        <w:rPr>
          <w:rFonts w:ascii="Arabic Typesetting" w:eastAsia="Calibri" w:hAnsi="Arabic Typesetting" w:cs="Arabic Typesetting"/>
          <w:sz w:val="24"/>
          <w:szCs w:val="24"/>
        </w:rPr>
        <w:t xml:space="preserve"> </w:t>
      </w:r>
      <w:hyperlink r:id="rId12" w:tgtFrame="_blank" w:history="1">
        <w:r w:rsidRPr="008E2DAE">
          <w:rPr>
            <w:rFonts w:ascii="Arabic Typesetting" w:eastAsia="Calibri" w:hAnsi="Arabic Typesetting" w:cs="Arabic Typesetting"/>
            <w:sz w:val="24"/>
            <w:szCs w:val="24"/>
            <w:u w:val="single"/>
          </w:rPr>
          <w:t>http://onlinelibrary.wiley.com/doi/10.1111/mcn.12469/full</w:t>
        </w:r>
      </w:hyperlink>
      <w:r w:rsidRPr="008E2DAE">
        <w:rPr>
          <w:rFonts w:ascii="Arabic Typesetting" w:eastAsia="Calibri" w:hAnsi="Arabic Typesetting" w:cs="Arabic Typesetting"/>
          <w:sz w:val="24"/>
          <w:szCs w:val="24"/>
        </w:rPr>
        <w:t> </w:t>
      </w:r>
    </w:p>
    <w:p w14:paraId="7236C249" w14:textId="77777777" w:rsidR="00424F00" w:rsidRPr="008E2DAE" w:rsidRDefault="00424F00" w:rsidP="00424F00">
      <w:pPr>
        <w:spacing w:before="100" w:beforeAutospacing="1" w:after="100" w:afterAutospacing="1" w:line="480" w:lineRule="auto"/>
        <w:ind w:left="360"/>
        <w:contextualSpacing/>
        <w:outlineLvl w:val="1"/>
        <w:rPr>
          <w:rFonts w:ascii="Arabic Typesetting" w:hAnsi="Arabic Typesetting" w:cs="Arabic Typesetting"/>
          <w:bCs/>
          <w:sz w:val="24"/>
          <w:szCs w:val="24"/>
        </w:rPr>
      </w:pPr>
    </w:p>
    <w:p w14:paraId="39C86FE5" w14:textId="77777777" w:rsidR="00424F00" w:rsidRPr="008E2DAE" w:rsidRDefault="00424F00" w:rsidP="00424F00">
      <w:pPr>
        <w:widowControl/>
        <w:numPr>
          <w:ilvl w:val="0"/>
          <w:numId w:val="4"/>
        </w:numPr>
        <w:spacing w:before="100" w:beforeAutospacing="1" w:after="100" w:afterAutospacing="1" w:line="480" w:lineRule="auto"/>
        <w:contextualSpacing/>
        <w:jc w:val="both"/>
        <w:outlineLvl w:val="1"/>
        <w:rPr>
          <w:rFonts w:ascii="Arabic Typesetting" w:hAnsi="Arabic Typesetting" w:cs="Arabic Typesetting"/>
          <w:bCs/>
          <w:sz w:val="24"/>
          <w:szCs w:val="24"/>
        </w:rPr>
      </w:pPr>
      <w:r w:rsidRPr="008E2DAE">
        <w:rPr>
          <w:rFonts w:ascii="Arabic Typesetting" w:hAnsi="Arabic Typesetting" w:cs="Arabic Typesetting"/>
          <w:bCs/>
          <w:sz w:val="24"/>
          <w:szCs w:val="24"/>
        </w:rPr>
        <w:t xml:space="preserve">Towards managing and controlling food safety based on contamination with fungi and its mycotoxins. Int J Gastroenterol </w:t>
      </w:r>
      <w:proofErr w:type="spellStart"/>
      <w:r w:rsidRPr="008E2DAE">
        <w:rPr>
          <w:rFonts w:ascii="Arabic Typesetting" w:hAnsi="Arabic Typesetting" w:cs="Arabic Typesetting"/>
          <w:bCs/>
          <w:sz w:val="24"/>
          <w:szCs w:val="24"/>
        </w:rPr>
        <w:t>Hepatol</w:t>
      </w:r>
      <w:proofErr w:type="spellEnd"/>
      <w:r w:rsidRPr="008E2DAE">
        <w:rPr>
          <w:rFonts w:ascii="Arabic Typesetting" w:hAnsi="Arabic Typesetting" w:cs="Arabic Typesetting"/>
          <w:bCs/>
          <w:sz w:val="24"/>
          <w:szCs w:val="24"/>
        </w:rPr>
        <w:t xml:space="preserve"> </w:t>
      </w:r>
      <w:proofErr w:type="spellStart"/>
      <w:r w:rsidRPr="008E2DAE">
        <w:rPr>
          <w:rFonts w:ascii="Arabic Typesetting" w:hAnsi="Arabic Typesetting" w:cs="Arabic Typesetting"/>
          <w:bCs/>
          <w:sz w:val="24"/>
          <w:szCs w:val="24"/>
        </w:rPr>
        <w:t>Transpl</w:t>
      </w:r>
      <w:proofErr w:type="spellEnd"/>
      <w:r w:rsidRPr="008E2DAE">
        <w:rPr>
          <w:rFonts w:ascii="Arabic Typesetting" w:hAnsi="Arabic Typesetting" w:cs="Arabic Typesetting"/>
          <w:bCs/>
          <w:sz w:val="24"/>
          <w:szCs w:val="24"/>
        </w:rPr>
        <w:t xml:space="preserve"> </w:t>
      </w:r>
      <w:proofErr w:type="spellStart"/>
      <w:r w:rsidRPr="008E2DAE">
        <w:rPr>
          <w:rFonts w:ascii="Arabic Typesetting" w:hAnsi="Arabic Typesetting" w:cs="Arabic Typesetting"/>
          <w:bCs/>
          <w:sz w:val="24"/>
          <w:szCs w:val="24"/>
        </w:rPr>
        <w:t>Nutr</w:t>
      </w:r>
      <w:proofErr w:type="spellEnd"/>
      <w:r w:rsidRPr="008E2DAE">
        <w:rPr>
          <w:rFonts w:ascii="Arabic Typesetting" w:hAnsi="Arabic Typesetting" w:cs="Arabic Typesetting"/>
          <w:bCs/>
          <w:sz w:val="24"/>
          <w:szCs w:val="24"/>
        </w:rPr>
        <w:t xml:space="preserve"> 2017;2(ii): 4 – 13</w:t>
      </w:r>
    </w:p>
    <w:p w14:paraId="597963F4" w14:textId="77777777" w:rsidR="00424F00" w:rsidRPr="008E2DAE" w:rsidRDefault="00424F00" w:rsidP="00424F00">
      <w:pPr>
        <w:spacing w:before="100" w:beforeAutospacing="1" w:after="100" w:afterAutospacing="1" w:line="259" w:lineRule="auto"/>
        <w:ind w:left="360"/>
        <w:contextualSpacing/>
        <w:outlineLvl w:val="0"/>
        <w:rPr>
          <w:rFonts w:ascii="Arabic Typesetting" w:hAnsi="Arabic Typesetting" w:cs="Arabic Typesetting"/>
          <w:bCs/>
          <w:kern w:val="36"/>
          <w:sz w:val="24"/>
          <w:szCs w:val="24"/>
        </w:rPr>
      </w:pPr>
    </w:p>
    <w:p w14:paraId="20FC7796" w14:textId="77777777" w:rsidR="00424F00" w:rsidRPr="008E2DAE" w:rsidRDefault="00424F00" w:rsidP="00424F00">
      <w:pPr>
        <w:widowControl/>
        <w:numPr>
          <w:ilvl w:val="0"/>
          <w:numId w:val="4"/>
        </w:numPr>
        <w:rPr>
          <w:rFonts w:ascii="Arabic Typesetting" w:hAnsi="Arabic Typesetting" w:cs="Arabic Typesetting"/>
          <w:bCs/>
          <w:sz w:val="24"/>
          <w:szCs w:val="24"/>
        </w:rPr>
      </w:pPr>
      <w:r w:rsidRPr="008E2DAE">
        <w:rPr>
          <w:rFonts w:ascii="Arabic Typesetting" w:hAnsi="Arabic Typesetting" w:cs="Arabic Typesetting"/>
          <w:bCs/>
          <w:sz w:val="24"/>
          <w:szCs w:val="24"/>
        </w:rPr>
        <w:t>Nutritional status of patients with acute lymphocytic leukemia (ALL), in Children Cancer Hospital Egypt (CCHE-57357) has been accepted for poster board viewing at the 51st Congress of the International Society of Pediatric Oncology (SIOP 2019), to be held in Lyon, France on October 23-26, 2019.</w:t>
      </w:r>
    </w:p>
    <w:p w14:paraId="10847735" w14:textId="77777777" w:rsidR="00424F00" w:rsidRPr="008E2DAE" w:rsidRDefault="00424F00" w:rsidP="00424F00">
      <w:pPr>
        <w:pStyle w:val="ListParagraph"/>
        <w:ind w:left="1440"/>
        <w:rPr>
          <w:rFonts w:ascii="Arabic Typesetting" w:hAnsi="Arabic Typesetting" w:cs="Arabic Typesetting"/>
          <w:bCs/>
          <w:sz w:val="24"/>
          <w:szCs w:val="24"/>
        </w:rPr>
      </w:pPr>
    </w:p>
    <w:p w14:paraId="44DDEB32" w14:textId="77777777" w:rsidR="00424F00" w:rsidRPr="008E2DAE" w:rsidRDefault="00424F00" w:rsidP="00424F00">
      <w:pPr>
        <w:ind w:left="360"/>
        <w:rPr>
          <w:rFonts w:ascii="Arabic Typesetting" w:hAnsi="Arabic Typesetting" w:cs="Arabic Typesetting"/>
          <w:bCs/>
          <w:sz w:val="24"/>
          <w:szCs w:val="24"/>
        </w:rPr>
      </w:pPr>
    </w:p>
    <w:p w14:paraId="1094A6D2" w14:textId="77777777" w:rsidR="001E58CE" w:rsidRPr="008E2DAE" w:rsidRDefault="00424F00" w:rsidP="001E58CE">
      <w:pPr>
        <w:widowControl/>
        <w:numPr>
          <w:ilvl w:val="0"/>
          <w:numId w:val="4"/>
        </w:numPr>
        <w:rPr>
          <w:rFonts w:ascii="Arabic Typesetting" w:hAnsi="Arabic Typesetting" w:cs="Arabic Typesetting"/>
          <w:bCs/>
          <w:sz w:val="24"/>
          <w:szCs w:val="24"/>
        </w:rPr>
      </w:pPr>
      <w:r w:rsidRPr="001E58CE">
        <w:rPr>
          <w:rFonts w:ascii="Arabic Typesetting" w:hAnsi="Arabic Typesetting" w:cs="Arabic Typesetting"/>
          <w:bCs/>
          <w:sz w:val="24"/>
          <w:szCs w:val="24"/>
        </w:rPr>
        <w:t>Nutritional status of patients with acute myeloid leukemia (ALL), in Children Cancer Hospital Egypt (CCHE-57357), has been</w:t>
      </w:r>
      <w:r w:rsidRPr="001E58CE">
        <w:rPr>
          <w:bCs/>
          <w:sz w:val="24"/>
          <w:szCs w:val="24"/>
        </w:rPr>
        <w:t xml:space="preserve"> </w:t>
      </w:r>
      <w:r w:rsidR="001E58CE" w:rsidRPr="00B73B4E">
        <w:rPr>
          <w:bCs/>
          <w:sz w:val="20"/>
          <w:szCs w:val="20"/>
        </w:rPr>
        <w:t xml:space="preserve">accepted for </w:t>
      </w:r>
      <w:r w:rsidRPr="00B73B4E">
        <w:rPr>
          <w:rFonts w:ascii="Arabic Typesetting" w:hAnsi="Arabic Typesetting" w:cs="Arabic Typesetting"/>
          <w:bCs/>
          <w:sz w:val="20"/>
          <w:szCs w:val="20"/>
        </w:rPr>
        <w:t>p</w:t>
      </w:r>
      <w:r w:rsidRPr="001E58CE">
        <w:rPr>
          <w:rFonts w:ascii="Arabic Typesetting" w:hAnsi="Arabic Typesetting" w:cs="Arabic Typesetting"/>
          <w:bCs/>
          <w:sz w:val="24"/>
          <w:szCs w:val="24"/>
        </w:rPr>
        <w:t xml:space="preserve">oster board </w:t>
      </w:r>
      <w:r w:rsidR="00B73B4E" w:rsidRPr="001E58CE">
        <w:rPr>
          <w:rFonts w:ascii="Arabic Typesetting" w:hAnsi="Arabic Typesetting" w:cs="Arabic Typesetting"/>
          <w:bCs/>
          <w:sz w:val="24"/>
          <w:szCs w:val="24"/>
        </w:rPr>
        <w:t>viewing</w:t>
      </w:r>
      <w:r w:rsidR="00B73B4E" w:rsidRPr="001E58CE">
        <w:rPr>
          <w:bCs/>
          <w:sz w:val="24"/>
          <w:szCs w:val="24"/>
        </w:rPr>
        <w:t xml:space="preserve"> </w:t>
      </w:r>
      <w:r w:rsidR="00B73B4E" w:rsidRPr="00B73B4E">
        <w:rPr>
          <w:bCs/>
          <w:sz w:val="20"/>
          <w:szCs w:val="20"/>
        </w:rPr>
        <w:t>at the</w:t>
      </w:r>
      <w:r w:rsidR="00B73B4E">
        <w:rPr>
          <w:bCs/>
          <w:sz w:val="24"/>
          <w:szCs w:val="24"/>
        </w:rPr>
        <w:t xml:space="preserve"> 51</w:t>
      </w:r>
      <w:r w:rsidR="001E58CE" w:rsidRPr="008E2DAE">
        <w:rPr>
          <w:rFonts w:ascii="Arabic Typesetting" w:hAnsi="Arabic Typesetting" w:cs="Arabic Typesetting"/>
          <w:bCs/>
          <w:sz w:val="24"/>
          <w:szCs w:val="24"/>
        </w:rPr>
        <w:t>st Congress of the International Society of Pediatric Oncology (SIOP 2019), to be held in Lyon, France on October 23-26, 2019.</w:t>
      </w:r>
    </w:p>
    <w:p w14:paraId="31D08EF8" w14:textId="77777777" w:rsidR="00AE3E37" w:rsidRDefault="00AE3E37" w:rsidP="00802A29">
      <w:pPr>
        <w:widowControl/>
        <w:numPr>
          <w:ilvl w:val="0"/>
          <w:numId w:val="4"/>
        </w:numPr>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909A147"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17CEAD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EB00192" wp14:editId="1138EAC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ECE7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04965CF" w14:textId="77777777" w:rsidR="001F6029" w:rsidRDefault="008756E6" w:rsidP="00404E5B">
      <w:pPr>
        <w:spacing w:before="92"/>
        <w:ind w:right="4234"/>
        <w:rPr>
          <w:noProof/>
        </w:rPr>
      </w:pPr>
      <w:r>
        <w:rPr>
          <w:noProof/>
        </w:rPr>
        <w:t xml:space="preserve">              </w:t>
      </w:r>
      <w:r w:rsidR="000F2651" w:rsidRPr="005834E7">
        <w:rPr>
          <w:noProof/>
          <w:sz w:val="48"/>
          <w:szCs w:val="48"/>
        </w:rPr>
        <w:drawing>
          <wp:inline distT="0" distB="0" distL="0" distR="0" wp14:anchorId="4F937243" wp14:editId="6693675A">
            <wp:extent cx="723900" cy="981075"/>
            <wp:effectExtent l="0" t="0" r="0" b="9525"/>
            <wp:docPr id="2" name="Picture 2" descr="20150513_131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50513_131544-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981075"/>
                    </a:xfrm>
                    <a:prstGeom prst="rect">
                      <a:avLst/>
                    </a:prstGeom>
                    <a:noFill/>
                    <a:ln>
                      <a:noFill/>
                    </a:ln>
                  </pic:spPr>
                </pic:pic>
              </a:graphicData>
            </a:graphic>
          </wp:inline>
        </w:drawing>
      </w:r>
    </w:p>
    <w:p w14:paraId="7AD3A936" w14:textId="77777777" w:rsidR="001F6029" w:rsidRDefault="001F6029" w:rsidP="00404E5B">
      <w:pPr>
        <w:spacing w:before="92"/>
        <w:ind w:right="4234"/>
        <w:rPr>
          <w:noProof/>
        </w:rPr>
      </w:pPr>
    </w:p>
    <w:p w14:paraId="250F75DA" w14:textId="77777777" w:rsidR="001F6029" w:rsidRDefault="00406E43" w:rsidP="001F6029">
      <w:pPr>
        <w:widowControl/>
        <w:ind w:left="360"/>
      </w:pPr>
      <w:r>
        <w:t>Dr. has her expertise in the field of clinical nutrition</w:t>
      </w:r>
      <w:r w:rsidR="0044424E">
        <w:t xml:space="preserve"> </w:t>
      </w:r>
      <w:r w:rsidR="00635A43">
        <w:t xml:space="preserve">since 1991, 2017 till now </w:t>
      </w:r>
      <w:r w:rsidR="001F6029">
        <w:t>Head of clinical nutrition department at 57357 Cancer Children Hospital of Egypt (57357 CCHE).</w:t>
      </w:r>
    </w:p>
    <w:p w14:paraId="5D290223" w14:textId="77777777" w:rsidR="001F6029" w:rsidRDefault="001F6029" w:rsidP="001F6029"/>
    <w:p w14:paraId="0943DFAC" w14:textId="77777777" w:rsidR="00D40EB9" w:rsidRPr="00173BAD" w:rsidRDefault="001F6029" w:rsidP="005D7DAE">
      <w:pPr>
        <w:ind w:left="1080"/>
        <w:rPr>
          <w:lang w:val="fr-FR"/>
        </w:rPr>
      </w:pPr>
      <w:r w:rsidRPr="00173BAD">
        <w:rPr>
          <w:lang w:val="fr-FR"/>
        </w:rPr>
        <w:t xml:space="preserve">-  </w:t>
      </w:r>
      <w:r w:rsidRPr="00173BAD">
        <w:rPr>
          <w:b/>
          <w:u w:val="single"/>
          <w:lang w:val="fr-FR"/>
        </w:rPr>
        <w:t>2007- 2016</w:t>
      </w:r>
      <w:r w:rsidRPr="00173BAD">
        <w:rPr>
          <w:lang w:val="fr-FR"/>
        </w:rPr>
        <w:t xml:space="preserve"> </w:t>
      </w:r>
      <w:r w:rsidR="005D7DAE" w:rsidRPr="00173BAD">
        <w:rPr>
          <w:lang w:val="fr-FR"/>
        </w:rPr>
        <w:t xml:space="preserve"> </w:t>
      </w:r>
    </w:p>
    <w:p w14:paraId="0BE86CA1" w14:textId="77777777" w:rsidR="001F6029" w:rsidRPr="00173BAD" w:rsidRDefault="005D7DAE" w:rsidP="005D7DAE">
      <w:pPr>
        <w:ind w:left="1080"/>
        <w:rPr>
          <w:lang w:val="fr-FR"/>
        </w:rPr>
      </w:pPr>
      <w:r w:rsidRPr="00173BAD">
        <w:rPr>
          <w:lang w:val="fr-FR"/>
        </w:rPr>
        <w:t xml:space="preserve"> </w:t>
      </w:r>
      <w:r w:rsidR="001F6029" w:rsidRPr="00173BAD">
        <w:rPr>
          <w:lang w:val="fr-FR"/>
        </w:rPr>
        <w:t xml:space="preserve">NATIONAL NUTRITION INSTITUTE (NNI), CAIRO- </w:t>
      </w:r>
      <w:proofErr w:type="gramStart"/>
      <w:r w:rsidR="001F6029" w:rsidRPr="00173BAD">
        <w:rPr>
          <w:lang w:val="fr-FR"/>
        </w:rPr>
        <w:t>EGYPT:</w:t>
      </w:r>
      <w:proofErr w:type="gramEnd"/>
    </w:p>
    <w:p w14:paraId="6E9C173B" w14:textId="77777777" w:rsidR="001F6029" w:rsidRDefault="001F6029" w:rsidP="00335CFB">
      <w:pPr>
        <w:widowControl/>
        <w:ind w:left="360"/>
      </w:pPr>
      <w:r>
        <w:t>Consultant of clinical nutrition and public health at</w:t>
      </w:r>
      <w:r w:rsidRPr="009334D0">
        <w:t xml:space="preserve"> </w:t>
      </w:r>
      <w:r>
        <w:t>"Field Studies &amp; Researches Department", participating in different rese</w:t>
      </w:r>
      <w:r w:rsidR="00335CFB">
        <w:t xml:space="preserve">arches &amp; scientific activities. </w:t>
      </w:r>
      <w:r>
        <w:t>Project Manager &amp; general coordinator of IDD scientific secretariat of Egypt, NNI/UNICEF.</w:t>
      </w:r>
      <w:r w:rsidR="00335CFB">
        <w:t xml:space="preserve"> </w:t>
      </w:r>
      <w:r>
        <w:t>General coordinator of the low salt/low fat initiative, NNI/</w:t>
      </w:r>
      <w:proofErr w:type="spellStart"/>
      <w:r>
        <w:t>WHO.General</w:t>
      </w:r>
      <w:proofErr w:type="spellEnd"/>
      <w:r>
        <w:t xml:space="preserve"> coordinator of NCDs committee, NNI/</w:t>
      </w:r>
      <w:proofErr w:type="spellStart"/>
      <w:r>
        <w:t>WHO.Head</w:t>
      </w:r>
      <w:proofErr w:type="spellEnd"/>
      <w:r>
        <w:t xml:space="preserve"> of media &amp; conferences department (2009-2011)</w:t>
      </w:r>
    </w:p>
    <w:p w14:paraId="75341BDB" w14:textId="77777777" w:rsidR="001F6029" w:rsidRDefault="001F6029" w:rsidP="001F6029">
      <w:pPr>
        <w:ind w:left="540"/>
      </w:pPr>
    </w:p>
    <w:p w14:paraId="6B1D9046" w14:textId="77777777" w:rsidR="001F6029" w:rsidRPr="005D2BB0" w:rsidRDefault="001F6029" w:rsidP="001F6029">
      <w:pPr>
        <w:ind w:left="540"/>
        <w:rPr>
          <w:u w:val="single"/>
        </w:rPr>
      </w:pPr>
      <w:r w:rsidRPr="005D2BB0">
        <w:t xml:space="preserve">- </w:t>
      </w:r>
      <w:r w:rsidRPr="005D2BB0">
        <w:rPr>
          <w:b/>
          <w:bCs/>
          <w:u w:val="single"/>
        </w:rPr>
        <w:t xml:space="preserve">2/2013 until </w:t>
      </w:r>
      <w:r>
        <w:rPr>
          <w:b/>
          <w:bCs/>
          <w:u w:val="single"/>
        </w:rPr>
        <w:t>5/2014</w:t>
      </w:r>
      <w:r w:rsidRPr="005D2BB0">
        <w:rPr>
          <w:b/>
          <w:bCs/>
          <w:u w:val="single"/>
        </w:rPr>
        <w:t>:</w:t>
      </w:r>
    </w:p>
    <w:p w14:paraId="6834C709" w14:textId="77777777" w:rsidR="001F6029" w:rsidRDefault="00D40EB9" w:rsidP="001F6029">
      <w:pPr>
        <w:ind w:left="540"/>
      </w:pPr>
      <w:r>
        <w:t xml:space="preserve">   </w:t>
      </w:r>
      <w:r w:rsidR="001F6029" w:rsidRPr="005D2BB0">
        <w:t>Nutritional consultant for Smart project, MCHIP/USAID/ Save the children</w:t>
      </w:r>
      <w:r w:rsidR="001F6029">
        <w:t>/Path</w:t>
      </w:r>
      <w:r w:rsidR="001F6029" w:rsidRPr="005D2BB0">
        <w:t>, for prevention and control of</w:t>
      </w:r>
      <w:r w:rsidR="001F6029">
        <w:t xml:space="preserve"> chronic</w:t>
      </w:r>
      <w:r w:rsidR="001F6029" w:rsidRPr="005D2BB0">
        <w:t xml:space="preserve"> infantile and young children malnutrition</w:t>
      </w:r>
      <w:r w:rsidR="001F6029">
        <w:t xml:space="preserve"> (stunting).</w:t>
      </w:r>
    </w:p>
    <w:p w14:paraId="4BC49CFB" w14:textId="77777777" w:rsidR="001F6029" w:rsidRPr="005D2BB0" w:rsidRDefault="001F6029" w:rsidP="001F6029">
      <w:pPr>
        <w:ind w:left="540"/>
      </w:pPr>
      <w:r>
        <w:t xml:space="preserve"> </w:t>
      </w:r>
    </w:p>
    <w:p w14:paraId="50C71490" w14:textId="77777777" w:rsidR="001F6029" w:rsidRDefault="001F6029" w:rsidP="00D53495">
      <w:r w:rsidRPr="005D2BB0">
        <w:t xml:space="preserve">     -    </w:t>
      </w:r>
      <w:r w:rsidRPr="005D2BB0">
        <w:rPr>
          <w:b/>
          <w:u w:val="single"/>
        </w:rPr>
        <w:t>2001 until 2007</w:t>
      </w:r>
      <w:r w:rsidRPr="005D2BB0">
        <w:t xml:space="preserve"> </w:t>
      </w:r>
      <w:r w:rsidRPr="005D2BB0">
        <w:rPr>
          <w:b/>
        </w:rPr>
        <w:t>:</w:t>
      </w:r>
      <w:r w:rsidRPr="005D2BB0">
        <w:t xml:space="preserve"> </w:t>
      </w:r>
      <w:r>
        <w:t>Affected by</w:t>
      </w:r>
      <w:r w:rsidRPr="004932F0">
        <w:t xml:space="preserve"> </w:t>
      </w:r>
      <w:r w:rsidRPr="005D2BB0">
        <w:t xml:space="preserve">the Ministry of </w:t>
      </w:r>
      <w:r w:rsidRPr="005D2BB0">
        <w:rPr>
          <w:sz w:val="20"/>
          <w:szCs w:val="20"/>
        </w:rPr>
        <w:t>FOREIGN AFFAIRS</w:t>
      </w:r>
      <w:r w:rsidRPr="005D2BB0">
        <w:t xml:space="preserve"> through the Egyptian- African Cooperation, </w:t>
      </w:r>
      <w:r>
        <w:t>as expert  of Public Health</w:t>
      </w:r>
      <w:r w:rsidRPr="005D2BB0">
        <w:t xml:space="preserve"> </w:t>
      </w:r>
      <w:r>
        <w:t xml:space="preserve">to GABON (West of Africa) </w:t>
      </w:r>
      <w:r w:rsidR="00D53495">
        <w:t>as</w:t>
      </w:r>
      <w:r w:rsidRPr="005D2BB0">
        <w:t xml:space="preserve"> </w:t>
      </w:r>
      <w:r w:rsidR="00D53495">
        <w:t>c</w:t>
      </w:r>
      <w:r w:rsidRPr="005D2BB0">
        <w:t xml:space="preserve">onsultant of Nutrition &amp; Educational Programs - Center of </w:t>
      </w:r>
      <w:r w:rsidRPr="005D2BB0">
        <w:lastRenderedPageBreak/>
        <w:t>Ambulatory Treatment for A.I.D.S. patients (CTA), which is under the supervision of French Red CREST &amp; National Program for fight Against A.I.D.S.(PNLS).</w:t>
      </w:r>
      <w:r w:rsidR="00D53495">
        <w:t xml:space="preserve"> </w:t>
      </w:r>
    </w:p>
    <w:p w14:paraId="006CA7D1" w14:textId="77777777" w:rsidR="001F6029" w:rsidRPr="005D2BB0" w:rsidRDefault="001F6029" w:rsidP="001F6029">
      <w:pPr>
        <w:ind w:left="360"/>
      </w:pPr>
      <w:r w:rsidRPr="005D2BB0">
        <w:t xml:space="preserve"> </w:t>
      </w:r>
    </w:p>
    <w:p w14:paraId="636EA5AF" w14:textId="77777777" w:rsidR="001F6029" w:rsidRDefault="001F6029" w:rsidP="001F6029">
      <w:pPr>
        <w:widowControl/>
        <w:ind w:left="426"/>
      </w:pPr>
      <w:r w:rsidRPr="005D2BB0">
        <w:rPr>
          <w:b/>
          <w:u w:val="single"/>
        </w:rPr>
        <w:t xml:space="preserve">1994 until </w:t>
      </w:r>
      <w:proofErr w:type="gramStart"/>
      <w:r w:rsidRPr="005D2BB0">
        <w:rPr>
          <w:b/>
          <w:u w:val="single"/>
        </w:rPr>
        <w:t>2001</w:t>
      </w:r>
      <w:r w:rsidRPr="005D2BB0">
        <w:t xml:space="preserve"> :</w:t>
      </w:r>
      <w:proofErr w:type="gramEnd"/>
      <w:r w:rsidRPr="005D2BB0">
        <w:t xml:space="preserve"> Specialist of Nutrition - NATIONAL NUTRITION INSTITUTE – CAIRO-EGYPT.</w:t>
      </w:r>
    </w:p>
    <w:p w14:paraId="26D72396" w14:textId="77777777" w:rsidR="001F6029" w:rsidRPr="005D2BB0" w:rsidRDefault="001F6029" w:rsidP="001F6029">
      <w:pPr>
        <w:ind w:left="540"/>
      </w:pPr>
    </w:p>
    <w:p w14:paraId="267CFDD9" w14:textId="77777777" w:rsidR="001F6029" w:rsidRDefault="001F6029" w:rsidP="001F6029">
      <w:pPr>
        <w:widowControl/>
        <w:ind w:left="426"/>
      </w:pPr>
      <w:r w:rsidRPr="005D2BB0">
        <w:rPr>
          <w:b/>
          <w:u w:val="single"/>
        </w:rPr>
        <w:t xml:space="preserve">1991 until </w:t>
      </w:r>
      <w:proofErr w:type="gramStart"/>
      <w:r w:rsidRPr="005D2BB0">
        <w:rPr>
          <w:b/>
          <w:u w:val="single"/>
        </w:rPr>
        <w:t>1994</w:t>
      </w:r>
      <w:r w:rsidRPr="005D2BB0">
        <w:t xml:space="preserve"> :</w:t>
      </w:r>
      <w:proofErr w:type="gramEnd"/>
      <w:r w:rsidRPr="005D2BB0">
        <w:t xml:space="preserve"> Resident of Nutrition -t NATIONAL NUTRITION INSTITUTE – CAIRO-EGYPT.</w:t>
      </w:r>
    </w:p>
    <w:p w14:paraId="242324D5" w14:textId="77777777" w:rsidR="001F6029" w:rsidRDefault="001F6029" w:rsidP="001F6029">
      <w:pPr>
        <w:spacing w:before="92"/>
        <w:ind w:right="4234"/>
        <w:rPr>
          <w:noProof/>
        </w:rPr>
      </w:pPr>
    </w:p>
    <w:p w14:paraId="7348BF4A" w14:textId="77777777" w:rsidR="001F6029" w:rsidRDefault="001F6029" w:rsidP="001F6029">
      <w:pPr>
        <w:spacing w:before="92"/>
        <w:ind w:right="4234"/>
        <w:rPr>
          <w:noProof/>
        </w:rPr>
      </w:pPr>
    </w:p>
    <w:p w14:paraId="48DF77C3" w14:textId="77777777" w:rsidR="001F6029" w:rsidRDefault="001F6029" w:rsidP="001F6029">
      <w:pPr>
        <w:spacing w:before="92"/>
        <w:ind w:right="4234"/>
        <w:rPr>
          <w:noProof/>
        </w:rPr>
      </w:pPr>
    </w:p>
    <w:p w14:paraId="400253AC" w14:textId="77777777" w:rsidR="001F6029" w:rsidRDefault="001F6029" w:rsidP="001F6029">
      <w:pPr>
        <w:spacing w:before="92"/>
        <w:ind w:right="4234"/>
        <w:rPr>
          <w:noProof/>
        </w:rPr>
      </w:pPr>
    </w:p>
    <w:p w14:paraId="3450D38A" w14:textId="77777777" w:rsidR="00AE3E37" w:rsidRDefault="00A9710C" w:rsidP="00D40EB9">
      <w:pPr>
        <w:spacing w:before="62"/>
        <w:ind w:left="4217" w:right="4235"/>
        <w:jc w:val="center"/>
        <w:rPr>
          <w:rFonts w:ascii="Arial"/>
          <w:sz w:val="19"/>
        </w:rPr>
      </w:pPr>
      <w:r w:rsidRPr="0044424E">
        <w:rPr>
          <w:rFonts w:ascii="Arial"/>
          <w:sz w:val="20"/>
          <w:szCs w:val="20"/>
        </w:rPr>
        <w:t xml:space="preserve">Email: </w:t>
      </w:r>
      <w:r w:rsidR="00292ED9">
        <w:rPr>
          <w:noProof/>
        </w:rPr>
        <mc:AlternateContent>
          <mc:Choice Requires="wps">
            <w:drawing>
              <wp:anchor distT="0" distB="0" distL="0" distR="0" simplePos="0" relativeHeight="1072" behindDoc="0" locked="0" layoutInCell="1" allowOverlap="1" wp14:anchorId="3FF0E0EE" wp14:editId="16F1E0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BD31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D40EB9">
        <w:rPr>
          <w:rFonts w:ascii="Arial"/>
          <w:sz w:val="19"/>
        </w:rPr>
        <w:t>gulsen.saleh@57357.org</w:t>
      </w:r>
    </w:p>
    <w:p w14:paraId="1BD017BF" w14:textId="77777777" w:rsidR="00AE3E37" w:rsidRDefault="00AE3E37">
      <w:pPr>
        <w:pStyle w:val="BodyText"/>
        <w:rPr>
          <w:rFonts w:ascii="Arial"/>
          <w:sz w:val="20"/>
        </w:rPr>
      </w:pPr>
    </w:p>
    <w:p w14:paraId="192BC039" w14:textId="77777777" w:rsidR="00AE3E37" w:rsidRDefault="00AE3E37">
      <w:pPr>
        <w:pStyle w:val="BodyText"/>
        <w:rPr>
          <w:rFonts w:ascii="Arial"/>
          <w:sz w:val="20"/>
        </w:rPr>
      </w:pPr>
    </w:p>
    <w:p w14:paraId="3E7A0946" w14:textId="77777777" w:rsidR="00AE3E37" w:rsidRDefault="00AE3E37">
      <w:pPr>
        <w:pStyle w:val="BodyText"/>
        <w:spacing w:before="7"/>
        <w:rPr>
          <w:rFonts w:ascii="Arial"/>
          <w:sz w:val="29"/>
        </w:rPr>
      </w:pPr>
    </w:p>
    <w:p w14:paraId="6AC28F9B" w14:textId="77777777" w:rsidR="00AE3E37" w:rsidRPr="00B21A57" w:rsidRDefault="00A9710C">
      <w:pPr>
        <w:spacing w:before="39"/>
        <w:ind w:left="100"/>
        <w:rPr>
          <w:rFonts w:ascii="Minion Pro"/>
          <w:b/>
          <w:sz w:val="20"/>
        </w:rPr>
      </w:pPr>
      <w:r w:rsidRPr="00B21A57">
        <w:rPr>
          <w:rFonts w:ascii="Minion Pro"/>
          <w:b/>
          <w:sz w:val="20"/>
        </w:rPr>
        <w:t>Notes/Comments:</w:t>
      </w:r>
    </w:p>
    <w:p w14:paraId="450C0A9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9FF488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8D659" w14:textId="77777777" w:rsidR="007E136D" w:rsidRDefault="007E136D">
      <w:r>
        <w:separator/>
      </w:r>
    </w:p>
  </w:endnote>
  <w:endnote w:type="continuationSeparator" w:id="0">
    <w:p w14:paraId="45DE2D4F" w14:textId="77777777" w:rsidR="007E136D" w:rsidRDefault="007E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abic Typesetting">
    <w:panose1 w:val="03020402040406030203"/>
    <w:charset w:val="00"/>
    <w:family w:val="script"/>
    <w:pitch w:val="variable"/>
    <w:sig w:usb0="80002007" w:usb1="80000000" w:usb2="000000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9D1F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9D9B477" wp14:editId="3FED0F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CDB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CE288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9B47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C3CDB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CE288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47A514B" wp14:editId="638D5F2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ED1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C025A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A514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F4ED1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C025A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187F16C" wp14:editId="174594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22F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1344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7F16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22F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1344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4F6A0" w14:textId="77777777" w:rsidR="007E136D" w:rsidRDefault="007E136D">
      <w:r>
        <w:separator/>
      </w:r>
    </w:p>
  </w:footnote>
  <w:footnote w:type="continuationSeparator" w:id="0">
    <w:p w14:paraId="58A0EE27" w14:textId="77777777" w:rsidR="007E136D" w:rsidRDefault="007E1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F8AC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A4D6367" wp14:editId="25EB19A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D8C10" w14:textId="77777777" w:rsidR="00AE3E37" w:rsidRPr="00173BAD" w:rsidRDefault="00A9710C">
                          <w:pPr>
                            <w:spacing w:before="2" w:line="249" w:lineRule="auto"/>
                            <w:ind w:left="156" w:right="18" w:hanging="137"/>
                            <w:rPr>
                              <w:rFonts w:ascii="Arial"/>
                              <w:color w:val="FFFFFF" w:themeColor="background1"/>
                              <w:sz w:val="14"/>
                              <w:lang w:val="fr-FR"/>
                            </w:rPr>
                          </w:pPr>
                          <w:r w:rsidRPr="00173BAD">
                            <w:rPr>
                              <w:rFonts w:ascii="Arial"/>
                              <w:color w:val="FFFFFF" w:themeColor="background1"/>
                              <w:sz w:val="14"/>
                              <w:lang w:val="fr-FR"/>
                            </w:rPr>
                            <w:t xml:space="preserve">T Furuta et al., J Pai n Relief 2016, 5:3(Suppl) </w:t>
                          </w:r>
                          <w:r w:rsidR="00173BAD">
                            <w:fldChar w:fldCharType="begin"/>
                          </w:r>
                          <w:r w:rsidR="00173BAD" w:rsidRPr="00173BAD">
                            <w:rPr>
                              <w:lang w:val="fr-FR"/>
                            </w:rPr>
                            <w:instrText xml:space="preserve"> HYPERLINK "http://dx.doi.org/10.4172/2167-0846.C1.006" \h </w:instrText>
                          </w:r>
                          <w:r w:rsidR="00173BAD">
                            <w:fldChar w:fldCharType="separate"/>
                          </w:r>
                          <w:r w:rsidRPr="00173BAD">
                            <w:rPr>
                              <w:rFonts w:ascii="Arial"/>
                              <w:color w:val="FFFFFF" w:themeColor="background1"/>
                              <w:sz w:val="14"/>
                              <w:lang w:val="fr-FR"/>
                            </w:rPr>
                            <w:t>http://dx.doi.org/10.4172/2167-0846.C1.006</w:t>
                          </w:r>
                          <w:r w:rsidR="00173BAD">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D636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34D8C10" w14:textId="77777777" w:rsidR="00AE3E37" w:rsidRPr="00173BAD" w:rsidRDefault="00A9710C">
                    <w:pPr>
                      <w:spacing w:before="2" w:line="249" w:lineRule="auto"/>
                      <w:ind w:left="156" w:right="18" w:hanging="137"/>
                      <w:rPr>
                        <w:rFonts w:ascii="Arial"/>
                        <w:color w:val="FFFFFF" w:themeColor="background1"/>
                        <w:sz w:val="14"/>
                        <w:lang w:val="fr-FR"/>
                      </w:rPr>
                    </w:pPr>
                    <w:r w:rsidRPr="00173BAD">
                      <w:rPr>
                        <w:rFonts w:ascii="Arial"/>
                        <w:color w:val="FFFFFF" w:themeColor="background1"/>
                        <w:sz w:val="14"/>
                        <w:lang w:val="fr-FR"/>
                      </w:rPr>
                      <w:t xml:space="preserve">T Furuta et al., J Pai n Relief 2016, 5:3(Suppl) </w:t>
                    </w:r>
                    <w:r w:rsidR="00173BAD">
                      <w:fldChar w:fldCharType="begin"/>
                    </w:r>
                    <w:r w:rsidR="00173BAD" w:rsidRPr="00173BAD">
                      <w:rPr>
                        <w:lang w:val="fr-FR"/>
                      </w:rPr>
                      <w:instrText xml:space="preserve"> HYPERLINK "http://dx.doi.org/10.4172/2167-0846.C1.006" \h </w:instrText>
                    </w:r>
                    <w:r w:rsidR="00173BAD">
                      <w:fldChar w:fldCharType="separate"/>
                    </w:r>
                    <w:r w:rsidRPr="00173BAD">
                      <w:rPr>
                        <w:rFonts w:ascii="Arial"/>
                        <w:color w:val="FFFFFF" w:themeColor="background1"/>
                        <w:sz w:val="14"/>
                        <w:lang w:val="fr-FR"/>
                      </w:rPr>
                      <w:t>http://dx.doi.org/10.4172/2167-0846.C1.006</w:t>
                    </w:r>
                    <w:r w:rsidR="00173BAD">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7449840" wp14:editId="2D91B50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8C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6EC2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4984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4648C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6EC2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94E93"/>
    <w:multiLevelType w:val="hybridMultilevel"/>
    <w:tmpl w:val="5DBEDBBA"/>
    <w:lvl w:ilvl="0" w:tplc="F4B2D0FC">
      <w:start w:val="5"/>
      <w:numFmt w:val="bullet"/>
      <w:lvlText w:val="-"/>
      <w:lvlJc w:val="left"/>
      <w:pPr>
        <w:tabs>
          <w:tab w:val="num" w:pos="786"/>
        </w:tabs>
        <w:ind w:left="786" w:hanging="360"/>
      </w:pPr>
      <w:rPr>
        <w:rFonts w:ascii="Times New Roman" w:eastAsia="Times New Roman" w:hAnsi="Times New Roman"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02F1B68"/>
    <w:multiLevelType w:val="hybridMultilevel"/>
    <w:tmpl w:val="3AA8AC1A"/>
    <w:lvl w:ilvl="0" w:tplc="04090009">
      <w:start w:val="1"/>
      <w:numFmt w:val="bullet"/>
      <w:lvlText w:val=""/>
      <w:lvlJc w:val="left"/>
      <w:pPr>
        <w:tabs>
          <w:tab w:val="num" w:pos="1620"/>
        </w:tabs>
        <w:ind w:left="1620" w:hanging="360"/>
      </w:pPr>
      <w:rPr>
        <w:rFonts w:ascii="Wingdings" w:hAnsi="Wingdings" w:hint="default"/>
      </w:rPr>
    </w:lvl>
    <w:lvl w:ilvl="1" w:tplc="04090009">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3" w15:restartNumberingAfterBreak="0">
    <w:nsid w:val="4C8D7927"/>
    <w:multiLevelType w:val="hybridMultilevel"/>
    <w:tmpl w:val="3B8AA00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5DBF2904"/>
    <w:multiLevelType w:val="hybridMultilevel"/>
    <w:tmpl w:val="55EEFB4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39B52F4"/>
    <w:multiLevelType w:val="hybridMultilevel"/>
    <w:tmpl w:val="163E9F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8B49B5"/>
    <w:multiLevelType w:val="hybridMultilevel"/>
    <w:tmpl w:val="B1F8FE24"/>
    <w:lvl w:ilvl="0" w:tplc="2FE6E19A">
      <w:start w:val="1"/>
      <w:numFmt w:val="bullet"/>
      <w:lvlText w:val=""/>
      <w:lvlJc w:val="left"/>
      <w:pPr>
        <w:tabs>
          <w:tab w:val="num" w:pos="720"/>
        </w:tabs>
        <w:ind w:left="720" w:hanging="360"/>
      </w:pPr>
      <w:rPr>
        <w:rFonts w:ascii="Wingdings" w:hAnsi="Wingdings" w:hint="default"/>
      </w:rPr>
    </w:lvl>
    <w:lvl w:ilvl="1" w:tplc="79982CEA" w:tentative="1">
      <w:start w:val="1"/>
      <w:numFmt w:val="bullet"/>
      <w:lvlText w:val=""/>
      <w:lvlJc w:val="left"/>
      <w:pPr>
        <w:tabs>
          <w:tab w:val="num" w:pos="1440"/>
        </w:tabs>
        <w:ind w:left="1440" w:hanging="360"/>
      </w:pPr>
      <w:rPr>
        <w:rFonts w:ascii="Wingdings" w:hAnsi="Wingdings" w:hint="default"/>
      </w:rPr>
    </w:lvl>
    <w:lvl w:ilvl="2" w:tplc="732A73DA" w:tentative="1">
      <w:start w:val="1"/>
      <w:numFmt w:val="bullet"/>
      <w:lvlText w:val=""/>
      <w:lvlJc w:val="left"/>
      <w:pPr>
        <w:tabs>
          <w:tab w:val="num" w:pos="2160"/>
        </w:tabs>
        <w:ind w:left="2160" w:hanging="360"/>
      </w:pPr>
      <w:rPr>
        <w:rFonts w:ascii="Wingdings" w:hAnsi="Wingdings" w:hint="default"/>
      </w:rPr>
    </w:lvl>
    <w:lvl w:ilvl="3" w:tplc="DB18D8E0" w:tentative="1">
      <w:start w:val="1"/>
      <w:numFmt w:val="bullet"/>
      <w:lvlText w:val=""/>
      <w:lvlJc w:val="left"/>
      <w:pPr>
        <w:tabs>
          <w:tab w:val="num" w:pos="2880"/>
        </w:tabs>
        <w:ind w:left="2880" w:hanging="360"/>
      </w:pPr>
      <w:rPr>
        <w:rFonts w:ascii="Wingdings" w:hAnsi="Wingdings" w:hint="default"/>
      </w:rPr>
    </w:lvl>
    <w:lvl w:ilvl="4" w:tplc="C96A5F6C" w:tentative="1">
      <w:start w:val="1"/>
      <w:numFmt w:val="bullet"/>
      <w:lvlText w:val=""/>
      <w:lvlJc w:val="left"/>
      <w:pPr>
        <w:tabs>
          <w:tab w:val="num" w:pos="3600"/>
        </w:tabs>
        <w:ind w:left="3600" w:hanging="360"/>
      </w:pPr>
      <w:rPr>
        <w:rFonts w:ascii="Wingdings" w:hAnsi="Wingdings" w:hint="default"/>
      </w:rPr>
    </w:lvl>
    <w:lvl w:ilvl="5" w:tplc="31EEE12A" w:tentative="1">
      <w:start w:val="1"/>
      <w:numFmt w:val="bullet"/>
      <w:lvlText w:val=""/>
      <w:lvlJc w:val="left"/>
      <w:pPr>
        <w:tabs>
          <w:tab w:val="num" w:pos="4320"/>
        </w:tabs>
        <w:ind w:left="4320" w:hanging="360"/>
      </w:pPr>
      <w:rPr>
        <w:rFonts w:ascii="Wingdings" w:hAnsi="Wingdings" w:hint="default"/>
      </w:rPr>
    </w:lvl>
    <w:lvl w:ilvl="6" w:tplc="C0DA25E2" w:tentative="1">
      <w:start w:val="1"/>
      <w:numFmt w:val="bullet"/>
      <w:lvlText w:val=""/>
      <w:lvlJc w:val="left"/>
      <w:pPr>
        <w:tabs>
          <w:tab w:val="num" w:pos="5040"/>
        </w:tabs>
        <w:ind w:left="5040" w:hanging="360"/>
      </w:pPr>
      <w:rPr>
        <w:rFonts w:ascii="Wingdings" w:hAnsi="Wingdings" w:hint="default"/>
      </w:rPr>
    </w:lvl>
    <w:lvl w:ilvl="7" w:tplc="94F6423E" w:tentative="1">
      <w:start w:val="1"/>
      <w:numFmt w:val="bullet"/>
      <w:lvlText w:val=""/>
      <w:lvlJc w:val="left"/>
      <w:pPr>
        <w:tabs>
          <w:tab w:val="num" w:pos="5760"/>
        </w:tabs>
        <w:ind w:left="5760" w:hanging="360"/>
      </w:pPr>
      <w:rPr>
        <w:rFonts w:ascii="Wingdings" w:hAnsi="Wingdings" w:hint="default"/>
      </w:rPr>
    </w:lvl>
    <w:lvl w:ilvl="8" w:tplc="A13C15E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6"/>
  </w:num>
  <w:num w:numId="5">
    <w:abstractNumId w:val="0"/>
  </w:num>
  <w:num w:numId="6">
    <w:abstractNumId w:val="3"/>
  </w:num>
  <w:num w:numId="7">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2651"/>
    <w:rsid w:val="001263DF"/>
    <w:rsid w:val="00131DC9"/>
    <w:rsid w:val="00173BAD"/>
    <w:rsid w:val="001C6509"/>
    <w:rsid w:val="001E58CE"/>
    <w:rsid w:val="001E763C"/>
    <w:rsid w:val="001F6029"/>
    <w:rsid w:val="00292ED9"/>
    <w:rsid w:val="002C7DEB"/>
    <w:rsid w:val="00314AFB"/>
    <w:rsid w:val="00335CFB"/>
    <w:rsid w:val="003B76D9"/>
    <w:rsid w:val="00404E5B"/>
    <w:rsid w:val="00406E43"/>
    <w:rsid w:val="00414F7B"/>
    <w:rsid w:val="00424F00"/>
    <w:rsid w:val="004355DC"/>
    <w:rsid w:val="0044424E"/>
    <w:rsid w:val="004749B4"/>
    <w:rsid w:val="00494130"/>
    <w:rsid w:val="004F3523"/>
    <w:rsid w:val="005973B9"/>
    <w:rsid w:val="005B3A56"/>
    <w:rsid w:val="005D67A1"/>
    <w:rsid w:val="005D7DAE"/>
    <w:rsid w:val="006060CE"/>
    <w:rsid w:val="0063497F"/>
    <w:rsid w:val="00635A43"/>
    <w:rsid w:val="007143BA"/>
    <w:rsid w:val="0078738A"/>
    <w:rsid w:val="007E136D"/>
    <w:rsid w:val="00873DF0"/>
    <w:rsid w:val="008756E6"/>
    <w:rsid w:val="008E2DAE"/>
    <w:rsid w:val="00922C81"/>
    <w:rsid w:val="009751C7"/>
    <w:rsid w:val="0097773A"/>
    <w:rsid w:val="009B2D44"/>
    <w:rsid w:val="00A07E82"/>
    <w:rsid w:val="00A9710C"/>
    <w:rsid w:val="00AE3E37"/>
    <w:rsid w:val="00B21A57"/>
    <w:rsid w:val="00B34D49"/>
    <w:rsid w:val="00B73B4E"/>
    <w:rsid w:val="00BB7FEC"/>
    <w:rsid w:val="00C11C37"/>
    <w:rsid w:val="00C33602"/>
    <w:rsid w:val="00C6411D"/>
    <w:rsid w:val="00CD6F55"/>
    <w:rsid w:val="00D40EB9"/>
    <w:rsid w:val="00D53495"/>
    <w:rsid w:val="00D62425"/>
    <w:rsid w:val="00DD4C20"/>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76AAEB"/>
  <w15:docId w15:val="{FE9FA386-668C-4A28-B446-9169DF5A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C11C3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onlinelibrary.wiley.com/doi/10.1111/mcn.12469/fu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504959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bi.nlm.nih.gov/pubmed/26447257"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Mohab</cp:lastModifiedBy>
  <cp:revision>3</cp:revision>
  <dcterms:created xsi:type="dcterms:W3CDTF">2019-10-22T15:08:00Z</dcterms:created>
  <dcterms:modified xsi:type="dcterms:W3CDTF">2019-10-22T18:04:00Z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