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B94" w:rsidRPr="00564751" w:rsidRDefault="00B06B94" w:rsidP="0061591B">
      <w:pPr>
        <w:jc w:val="center"/>
        <w:rPr>
          <w:rFonts w:ascii="Times New Roman" w:hAnsi="Times New Roman" w:cs="Times New Roman"/>
          <w:b/>
          <w:sz w:val="28"/>
          <w:szCs w:val="28"/>
        </w:rPr>
      </w:pPr>
      <w:r w:rsidRPr="00564751">
        <w:rPr>
          <w:rFonts w:ascii="Times New Roman" w:hAnsi="Times New Roman" w:cs="Times New Roman"/>
          <w:b/>
          <w:sz w:val="28"/>
          <w:szCs w:val="28"/>
        </w:rPr>
        <w:t>Title</w:t>
      </w:r>
      <w:r w:rsidR="005B090F">
        <w:rPr>
          <w:rFonts w:ascii="Times New Roman" w:hAnsi="Times New Roman" w:cs="Times New Roman"/>
          <w:b/>
          <w:sz w:val="28"/>
          <w:szCs w:val="28"/>
        </w:rPr>
        <w:t xml:space="preserve"> of your </w:t>
      </w:r>
      <w:r w:rsidR="0061591B">
        <w:rPr>
          <w:rFonts w:ascii="Times New Roman" w:hAnsi="Times New Roman" w:cs="Times New Roman"/>
          <w:b/>
          <w:sz w:val="28"/>
          <w:szCs w:val="28"/>
        </w:rPr>
        <w:t>contribution (</w:t>
      </w:r>
      <w:r w:rsidR="005B090F">
        <w:rPr>
          <w:rFonts w:ascii="Times New Roman" w:hAnsi="Times New Roman" w:cs="Times New Roman"/>
          <w:b/>
          <w:sz w:val="28"/>
          <w:szCs w:val="28"/>
        </w:rPr>
        <w:t>12pt Times, Bold)</w:t>
      </w:r>
    </w:p>
    <w:p w:rsidR="005852F0" w:rsidRPr="006808C5" w:rsidRDefault="0061591B" w:rsidP="005852F0">
      <w:pPr>
        <w:spacing w:after="0" w:line="240" w:lineRule="auto"/>
        <w:jc w:val="center"/>
        <w:rPr>
          <w:rFonts w:asciiTheme="majorBidi" w:hAnsiTheme="majorBidi" w:cstheme="majorBidi"/>
          <w:sz w:val="18"/>
          <w:szCs w:val="18"/>
          <w:vertAlign w:val="superscript"/>
        </w:rPr>
      </w:pPr>
      <w:r w:rsidRPr="005852F0">
        <w:rPr>
          <w:rFonts w:ascii="Times New Roman" w:hAnsi="Times New Roman" w:cs="Times New Roman"/>
          <w:b/>
          <w:sz w:val="24"/>
        </w:rPr>
        <w:t xml:space="preserve"> </w:t>
      </w:r>
      <w:r w:rsidR="005B090F" w:rsidRPr="005852F0">
        <w:rPr>
          <w:rFonts w:ascii="Times New Roman" w:hAnsi="Times New Roman" w:cs="Times New Roman"/>
          <w:b/>
          <w:sz w:val="24"/>
        </w:rPr>
        <w:t>Presenting</w:t>
      </w:r>
      <w:r w:rsidRPr="005852F0">
        <w:rPr>
          <w:rFonts w:ascii="Times New Roman" w:hAnsi="Times New Roman" w:cs="Times New Roman"/>
          <w:b/>
          <w:sz w:val="24"/>
          <w:vertAlign w:val="superscript"/>
        </w:rPr>
        <w:tab/>
      </w:r>
      <w:r w:rsidR="00564751" w:rsidRPr="005852F0">
        <w:rPr>
          <w:rFonts w:ascii="Times New Roman" w:hAnsi="Times New Roman" w:cs="Times New Roman"/>
          <w:sz w:val="24"/>
        </w:rPr>
        <w:br/>
      </w:r>
      <w:r w:rsidR="005852F0" w:rsidRPr="009B4874">
        <w:rPr>
          <w:rFonts w:asciiTheme="majorBidi" w:hAnsiTheme="majorBidi" w:cstheme="majorBidi"/>
          <w:b/>
          <w:bCs/>
          <w:sz w:val="18"/>
          <w:szCs w:val="18"/>
        </w:rPr>
        <w:t>P</w:t>
      </w:r>
      <w:r w:rsidR="005852F0" w:rsidRPr="006808C5">
        <w:rPr>
          <w:rFonts w:asciiTheme="majorBidi" w:hAnsiTheme="majorBidi" w:cstheme="majorBidi"/>
          <w:sz w:val="18"/>
          <w:szCs w:val="18"/>
          <w:vertAlign w:val="superscript"/>
        </w:rPr>
        <w:t>)</w:t>
      </w:r>
      <w:r w:rsidR="005852F0" w:rsidRPr="006808C5">
        <w:rPr>
          <w:rFonts w:asciiTheme="majorBidi" w:hAnsiTheme="majorBidi" w:cstheme="majorBidi"/>
          <w:sz w:val="18"/>
          <w:szCs w:val="18"/>
        </w:rPr>
        <w:t>, H.TOUMI</w:t>
      </w:r>
      <w:r w:rsidR="005852F0" w:rsidRPr="006808C5">
        <w:rPr>
          <w:rFonts w:asciiTheme="majorBidi" w:hAnsiTheme="majorBidi" w:cstheme="majorBidi"/>
          <w:sz w:val="18"/>
          <w:szCs w:val="18"/>
          <w:vertAlign w:val="superscript"/>
        </w:rPr>
        <w:t xml:space="preserve"> (1)</w:t>
      </w:r>
    </w:p>
    <w:p w:rsidR="005852F0" w:rsidRDefault="005852F0" w:rsidP="005852F0">
      <w:pPr>
        <w:spacing w:after="0" w:line="240" w:lineRule="auto"/>
        <w:jc w:val="center"/>
        <w:rPr>
          <w:rFonts w:asciiTheme="majorBidi" w:hAnsiTheme="majorBidi" w:cstheme="majorBidi"/>
          <w:sz w:val="18"/>
          <w:szCs w:val="18"/>
          <w:vertAlign w:val="superscript"/>
        </w:rPr>
      </w:pPr>
      <w:r w:rsidRPr="005852F0">
        <w:rPr>
          <w:rFonts w:asciiTheme="majorBidi" w:hAnsiTheme="majorBidi" w:cstheme="majorBidi"/>
          <w:sz w:val="18"/>
          <w:szCs w:val="18"/>
          <w:u w:val="single"/>
        </w:rPr>
        <w:t xml:space="preserve"> </w:t>
      </w:r>
      <w:r w:rsidRPr="009B4874">
        <w:rPr>
          <w:rFonts w:asciiTheme="majorBidi" w:hAnsiTheme="majorBidi" w:cstheme="majorBidi"/>
          <w:sz w:val="18"/>
          <w:szCs w:val="18"/>
          <w:u w:val="single"/>
        </w:rPr>
        <w:t>I.NH. BEKHTI</w:t>
      </w:r>
      <w:r w:rsidRPr="009B4874">
        <w:rPr>
          <w:rFonts w:asciiTheme="majorBidi" w:hAnsiTheme="majorBidi" w:cstheme="majorBidi"/>
          <w:sz w:val="18"/>
          <w:szCs w:val="18"/>
          <w:vertAlign w:val="superscript"/>
        </w:rPr>
        <w:t>(1)</w:t>
      </w:r>
      <w:r w:rsidRPr="009B4874">
        <w:rPr>
          <w:rFonts w:asciiTheme="majorBidi" w:hAnsiTheme="majorBidi" w:cstheme="majorBidi"/>
          <w:sz w:val="18"/>
          <w:szCs w:val="18"/>
        </w:rPr>
        <w:t>, H.ZITOUNI</w:t>
      </w:r>
      <w:r w:rsidRPr="009B4874">
        <w:rPr>
          <w:rFonts w:asciiTheme="majorBidi" w:hAnsiTheme="majorBidi" w:cstheme="majorBidi"/>
          <w:sz w:val="18"/>
          <w:szCs w:val="18"/>
          <w:vertAlign w:val="superscript"/>
        </w:rPr>
        <w:t>(1)</w:t>
      </w:r>
      <w:r w:rsidRPr="009B4874">
        <w:rPr>
          <w:rFonts w:asciiTheme="majorBidi" w:hAnsiTheme="majorBidi" w:cstheme="majorBidi"/>
          <w:sz w:val="18"/>
          <w:szCs w:val="18"/>
        </w:rPr>
        <w:t>, K.DJOUDED</w:t>
      </w:r>
      <w:r w:rsidRPr="009B4874">
        <w:rPr>
          <w:rFonts w:asciiTheme="majorBidi" w:hAnsiTheme="majorBidi" w:cstheme="majorBidi"/>
          <w:sz w:val="18"/>
          <w:szCs w:val="18"/>
          <w:vertAlign w:val="superscript"/>
        </w:rPr>
        <w:t>(2)</w:t>
      </w:r>
      <w:r w:rsidRPr="009B4874">
        <w:rPr>
          <w:rFonts w:asciiTheme="majorBidi" w:hAnsiTheme="majorBidi" w:cstheme="majorBidi"/>
          <w:sz w:val="18"/>
          <w:szCs w:val="18"/>
        </w:rPr>
        <w:t>, A.LARDJAM</w:t>
      </w:r>
      <w:r w:rsidRPr="009B4874">
        <w:rPr>
          <w:rFonts w:asciiTheme="majorBidi" w:hAnsiTheme="majorBidi" w:cstheme="majorBidi"/>
          <w:sz w:val="18"/>
          <w:szCs w:val="18"/>
          <w:vertAlign w:val="superscript"/>
        </w:rPr>
        <w:t>(1)</w:t>
      </w:r>
      <w:r w:rsidRPr="009B4874">
        <w:rPr>
          <w:rFonts w:asciiTheme="majorBidi" w:hAnsiTheme="majorBidi" w:cstheme="majorBidi"/>
          <w:sz w:val="18"/>
          <w:szCs w:val="18"/>
        </w:rPr>
        <w:t xml:space="preserve">, </w:t>
      </w:r>
      <w:r>
        <w:rPr>
          <w:rFonts w:asciiTheme="majorBidi" w:hAnsiTheme="majorBidi" w:cstheme="majorBidi"/>
          <w:sz w:val="18"/>
          <w:szCs w:val="18"/>
        </w:rPr>
        <w:t xml:space="preserve">FZ. </w:t>
      </w:r>
      <w:r w:rsidRPr="006808C5">
        <w:rPr>
          <w:rFonts w:asciiTheme="majorBidi" w:hAnsiTheme="majorBidi" w:cstheme="majorBidi"/>
          <w:sz w:val="18"/>
          <w:szCs w:val="18"/>
        </w:rPr>
        <w:t>MEKAOUCHE</w:t>
      </w:r>
      <w:r w:rsidRPr="006808C5">
        <w:rPr>
          <w:rFonts w:asciiTheme="majorBidi" w:hAnsiTheme="majorBidi" w:cstheme="majorBidi"/>
          <w:sz w:val="18"/>
          <w:szCs w:val="18"/>
          <w:vertAlign w:val="superscript"/>
        </w:rPr>
        <w:t>(1)</w:t>
      </w:r>
      <w:r w:rsidRPr="006808C5">
        <w:rPr>
          <w:rFonts w:asciiTheme="majorBidi" w:hAnsiTheme="majorBidi" w:cstheme="majorBidi"/>
          <w:sz w:val="18"/>
          <w:szCs w:val="18"/>
        </w:rPr>
        <w:t>, H. FETATI</w:t>
      </w:r>
      <w:r w:rsidRPr="006808C5">
        <w:rPr>
          <w:rFonts w:asciiTheme="majorBidi" w:hAnsiTheme="majorBidi" w:cstheme="majorBidi"/>
          <w:sz w:val="18"/>
          <w:szCs w:val="18"/>
          <w:vertAlign w:val="superscript"/>
        </w:rPr>
        <w:t>(1)</w:t>
      </w:r>
      <w:r w:rsidRPr="006808C5">
        <w:rPr>
          <w:rFonts w:asciiTheme="majorBidi" w:hAnsiTheme="majorBidi" w:cstheme="majorBidi"/>
          <w:sz w:val="18"/>
          <w:szCs w:val="18"/>
        </w:rPr>
        <w:t>, F.BOUDIA</w:t>
      </w:r>
      <w:r w:rsidRPr="006808C5">
        <w:rPr>
          <w:rFonts w:asciiTheme="majorBidi" w:hAnsiTheme="majorBidi" w:cstheme="majorBidi"/>
          <w:sz w:val="18"/>
          <w:szCs w:val="18"/>
          <w:vertAlign w:val="superscript"/>
        </w:rPr>
        <w:t>(</w:t>
      </w:r>
    </w:p>
    <w:p w:rsidR="005852F0" w:rsidRDefault="005852F0" w:rsidP="005852F0">
      <w:pPr>
        <w:spacing w:after="0" w:line="240" w:lineRule="auto"/>
        <w:jc w:val="center"/>
        <w:rPr>
          <w:rFonts w:asciiTheme="majorBidi" w:hAnsiTheme="majorBidi" w:cstheme="majorBidi"/>
          <w:sz w:val="18"/>
          <w:szCs w:val="18"/>
          <w:vertAlign w:val="superscript"/>
        </w:rPr>
      </w:pPr>
    </w:p>
    <w:p w:rsidR="005852F0" w:rsidRPr="009B4874" w:rsidRDefault="005852F0" w:rsidP="005852F0">
      <w:pPr>
        <w:spacing w:after="0" w:line="240" w:lineRule="auto"/>
        <w:rPr>
          <w:rFonts w:asciiTheme="majorBidi" w:hAnsiTheme="majorBidi" w:cstheme="majorBidi"/>
          <w:b/>
          <w:bCs/>
          <w:sz w:val="18"/>
          <w:szCs w:val="18"/>
        </w:rPr>
      </w:pPr>
      <w:r>
        <w:rPr>
          <w:rFonts w:asciiTheme="majorBidi" w:hAnsiTheme="majorBidi" w:cstheme="majorBidi"/>
          <w:b/>
          <w:bCs/>
          <w:sz w:val="18"/>
          <w:szCs w:val="18"/>
        </w:rPr>
        <w:t xml:space="preserve">            </w:t>
      </w:r>
      <w:r w:rsidRPr="005852F0">
        <w:rPr>
          <w:rFonts w:ascii="Times New Roman" w:hAnsi="Times New Roman" w:cs="Times New Roman"/>
          <w:b/>
          <w:sz w:val="24"/>
        </w:rPr>
        <w:t>Affiliation</w:t>
      </w:r>
      <w:r w:rsidRPr="005852F0">
        <w:rPr>
          <w:rFonts w:ascii="Times New Roman" w:hAnsi="Times New Roman" w:cs="Times New Roman"/>
          <w:b/>
          <w:sz w:val="24"/>
          <w:vertAlign w:val="superscript"/>
        </w:rPr>
        <w:t>1</w:t>
      </w:r>
      <w:r>
        <w:rPr>
          <w:rFonts w:asciiTheme="majorBidi" w:hAnsiTheme="majorBidi" w:cstheme="majorBidi"/>
          <w:b/>
          <w:bCs/>
          <w:sz w:val="18"/>
          <w:szCs w:val="18"/>
        </w:rPr>
        <w:t xml:space="preserve">  </w:t>
      </w:r>
      <w:r>
        <w:rPr>
          <w:rFonts w:asciiTheme="majorBidi" w:hAnsiTheme="majorBidi" w:cstheme="majorBidi"/>
          <w:b/>
          <w:bCs/>
          <w:sz w:val="18"/>
          <w:szCs w:val="18"/>
        </w:rPr>
        <w:t xml:space="preserve">    p</w:t>
      </w:r>
      <w:r w:rsidRPr="009B4874">
        <w:rPr>
          <w:rFonts w:asciiTheme="majorBidi" w:hAnsiTheme="majorBidi" w:cstheme="majorBidi"/>
          <w:b/>
          <w:bCs/>
          <w:sz w:val="18"/>
          <w:szCs w:val="18"/>
        </w:rPr>
        <w:t>harmacovigilance Service</w:t>
      </w:r>
      <w:r>
        <w:rPr>
          <w:rFonts w:asciiTheme="majorBidi" w:hAnsiTheme="majorBidi" w:cstheme="majorBidi"/>
          <w:b/>
          <w:bCs/>
          <w:sz w:val="18"/>
          <w:szCs w:val="18"/>
        </w:rPr>
        <w:t xml:space="preserve"> -</w:t>
      </w:r>
      <w:r w:rsidRPr="009B4874">
        <w:rPr>
          <w:rFonts w:asciiTheme="majorBidi" w:hAnsiTheme="majorBidi" w:cstheme="majorBidi"/>
          <w:b/>
          <w:bCs/>
          <w:sz w:val="18"/>
          <w:szCs w:val="18"/>
        </w:rPr>
        <w:t>U</w:t>
      </w:r>
      <w:r>
        <w:rPr>
          <w:rFonts w:asciiTheme="majorBidi" w:hAnsiTheme="majorBidi" w:cstheme="majorBidi"/>
          <w:b/>
          <w:bCs/>
          <w:sz w:val="18"/>
          <w:szCs w:val="18"/>
        </w:rPr>
        <w:t>HE</w:t>
      </w:r>
      <w:r w:rsidRPr="009B4874">
        <w:rPr>
          <w:rFonts w:asciiTheme="majorBidi" w:hAnsiTheme="majorBidi" w:cstheme="majorBidi"/>
          <w:b/>
          <w:bCs/>
          <w:sz w:val="18"/>
          <w:szCs w:val="18"/>
        </w:rPr>
        <w:t xml:space="preserve"> of Oran-</w:t>
      </w:r>
      <w:r>
        <w:rPr>
          <w:rFonts w:asciiTheme="majorBidi" w:hAnsiTheme="majorBidi" w:cstheme="majorBidi"/>
          <w:b/>
          <w:bCs/>
          <w:sz w:val="18"/>
          <w:szCs w:val="18"/>
        </w:rPr>
        <w:t xml:space="preserve"> ALGERIA</w:t>
      </w:r>
    </w:p>
    <w:p w:rsidR="005852F0" w:rsidRPr="009B4874" w:rsidRDefault="0061591B" w:rsidP="005852F0">
      <w:pPr>
        <w:pStyle w:val="ListParagraph"/>
        <w:numPr>
          <w:ilvl w:val="0"/>
          <w:numId w:val="1"/>
        </w:numPr>
        <w:spacing w:after="0"/>
        <w:rPr>
          <w:rFonts w:asciiTheme="majorBidi" w:hAnsiTheme="majorBidi" w:cstheme="majorBidi"/>
          <w:sz w:val="16"/>
          <w:szCs w:val="16"/>
          <w:lang w:val="en-US"/>
        </w:rPr>
      </w:pPr>
      <w:r w:rsidRPr="005852F0">
        <w:rPr>
          <w:rFonts w:ascii="Times New Roman" w:hAnsi="Times New Roman" w:cs="Times New Roman"/>
          <w:sz w:val="24"/>
          <w:lang w:val="en-US"/>
        </w:rPr>
        <w:br/>
      </w:r>
      <w:r w:rsidR="005B090F" w:rsidRPr="005852F0">
        <w:rPr>
          <w:rFonts w:ascii="Times New Roman" w:hAnsi="Times New Roman" w:cs="Times New Roman"/>
          <w:b/>
          <w:sz w:val="24"/>
          <w:lang w:val="en-US"/>
        </w:rPr>
        <w:t xml:space="preserve"> Affiliation</w:t>
      </w:r>
      <w:r w:rsidR="005B090F" w:rsidRPr="005852F0">
        <w:rPr>
          <w:rFonts w:ascii="Times New Roman" w:hAnsi="Times New Roman" w:cs="Times New Roman"/>
          <w:b/>
          <w:sz w:val="24"/>
          <w:vertAlign w:val="superscript"/>
          <w:lang w:val="en-US"/>
        </w:rPr>
        <w:t>2</w:t>
      </w:r>
      <w:r w:rsidR="005852F0" w:rsidRPr="005852F0">
        <w:rPr>
          <w:rFonts w:asciiTheme="majorBidi" w:hAnsiTheme="majorBidi" w:cstheme="majorBidi"/>
          <w:b/>
          <w:bCs/>
          <w:sz w:val="18"/>
          <w:szCs w:val="18"/>
          <w:lang w:val="en-US"/>
        </w:rPr>
        <w:t xml:space="preserve"> </w:t>
      </w:r>
      <w:r w:rsidR="005852F0" w:rsidRPr="009B4874">
        <w:rPr>
          <w:rFonts w:asciiTheme="majorBidi" w:hAnsiTheme="majorBidi" w:cstheme="majorBidi"/>
          <w:b/>
          <w:bCs/>
          <w:sz w:val="18"/>
          <w:szCs w:val="18"/>
          <w:lang w:val="en-US"/>
        </w:rPr>
        <w:t xml:space="preserve">Nephrology Service, </w:t>
      </w:r>
      <w:r w:rsidR="005852F0">
        <w:rPr>
          <w:rFonts w:asciiTheme="majorBidi" w:hAnsiTheme="majorBidi" w:cstheme="majorBidi"/>
          <w:b/>
          <w:bCs/>
          <w:sz w:val="18"/>
          <w:szCs w:val="18"/>
          <w:lang w:val="en-US"/>
        </w:rPr>
        <w:t>Kidney Transplantation Unit -</w:t>
      </w:r>
      <w:r w:rsidR="005852F0" w:rsidRPr="009B4874">
        <w:rPr>
          <w:rFonts w:asciiTheme="majorBidi" w:hAnsiTheme="majorBidi" w:cstheme="majorBidi"/>
          <w:b/>
          <w:bCs/>
          <w:sz w:val="18"/>
          <w:szCs w:val="18"/>
          <w:lang w:val="en-US"/>
        </w:rPr>
        <w:t>U</w:t>
      </w:r>
      <w:r w:rsidR="005852F0">
        <w:rPr>
          <w:rFonts w:asciiTheme="majorBidi" w:hAnsiTheme="majorBidi" w:cstheme="majorBidi"/>
          <w:b/>
          <w:bCs/>
          <w:sz w:val="18"/>
          <w:szCs w:val="18"/>
          <w:lang w:val="en-US"/>
        </w:rPr>
        <w:t>HE</w:t>
      </w:r>
      <w:r w:rsidR="005852F0" w:rsidRPr="009B4874">
        <w:rPr>
          <w:rFonts w:asciiTheme="majorBidi" w:hAnsiTheme="majorBidi" w:cstheme="majorBidi"/>
          <w:b/>
          <w:bCs/>
          <w:sz w:val="18"/>
          <w:szCs w:val="18"/>
          <w:lang w:val="en-US"/>
        </w:rPr>
        <w:t xml:space="preserve"> of Oran-</w:t>
      </w:r>
      <w:r w:rsidR="005852F0">
        <w:rPr>
          <w:rFonts w:asciiTheme="majorBidi" w:hAnsiTheme="majorBidi" w:cstheme="majorBidi"/>
          <w:b/>
          <w:bCs/>
          <w:sz w:val="18"/>
          <w:szCs w:val="18"/>
          <w:lang w:val="en-US"/>
        </w:rPr>
        <w:t xml:space="preserve"> ALGERIA</w:t>
      </w:r>
    </w:p>
    <w:p w:rsidR="002A0F8F" w:rsidRPr="00564751" w:rsidRDefault="005B090F" w:rsidP="0061591B">
      <w:pPr>
        <w:jc w:val="both"/>
        <w:rPr>
          <w:rFonts w:ascii="Times New Roman" w:hAnsi="Times New Roman" w:cs="Times New Roman"/>
          <w:sz w:val="24"/>
        </w:rPr>
      </w:pPr>
      <w:r>
        <w:rPr>
          <w:rFonts w:ascii="Times New Roman" w:hAnsi="Times New Roman" w:cs="Times New Roman"/>
          <w:b/>
          <w:sz w:val="24"/>
          <w:vertAlign w:val="superscript"/>
        </w:rPr>
        <w:br/>
      </w:r>
    </w:p>
    <w:p w:rsidR="00564751" w:rsidRDefault="005B090F" w:rsidP="00FE752F">
      <w:pPr>
        <w:rPr>
          <w:rFonts w:ascii="Times New Roman" w:hAnsi="Times New Roman" w:cs="Times New Roman"/>
          <w:sz w:val="24"/>
        </w:rPr>
      </w:pPr>
      <w:r>
        <w:rPr>
          <w:rFonts w:ascii="Times New Roman" w:hAnsi="Times New Roman" w:cs="Times New Roman"/>
          <w:b/>
          <w:sz w:val="24"/>
        </w:rPr>
        <w:t>Presenting</w:t>
      </w:r>
      <w:r w:rsidRPr="00564751">
        <w:rPr>
          <w:rFonts w:ascii="Times New Roman" w:hAnsi="Times New Roman" w:cs="Times New Roman"/>
          <w:b/>
          <w:sz w:val="24"/>
        </w:rPr>
        <w:t xml:space="preserve"> </w:t>
      </w:r>
      <w:r w:rsidR="00564751" w:rsidRPr="00564751">
        <w:rPr>
          <w:rFonts w:ascii="Times New Roman" w:hAnsi="Times New Roman" w:cs="Times New Roman"/>
          <w:b/>
          <w:sz w:val="24"/>
        </w:rPr>
        <w:t>Author*</w:t>
      </w:r>
      <w:r w:rsidR="00BC77D6" w:rsidRPr="00564751">
        <w:rPr>
          <w:rFonts w:ascii="Times New Roman" w:hAnsi="Times New Roman" w:cs="Times New Roman"/>
          <w:sz w:val="24"/>
        </w:rPr>
        <w:t xml:space="preserve"> </w:t>
      </w:r>
      <w:r w:rsidR="005852F0">
        <w:rPr>
          <w:rFonts w:ascii="Times New Roman" w:hAnsi="Times New Roman" w:cs="Times New Roman"/>
          <w:sz w:val="24"/>
        </w:rPr>
        <w:t>toumi54@live.fr</w:t>
      </w:r>
      <w:r w:rsidR="002A0F8F" w:rsidRPr="00564751">
        <w:rPr>
          <w:rFonts w:ascii="Times New Roman" w:hAnsi="Times New Roman" w:cs="Times New Roman"/>
          <w:sz w:val="24"/>
        </w:rPr>
        <w:t xml:space="preserve"> </w:t>
      </w:r>
      <w:r w:rsidR="00564751">
        <w:rPr>
          <w:rFonts w:ascii="Times New Roman" w:hAnsi="Times New Roman" w:cs="Times New Roman"/>
          <w:sz w:val="24"/>
        </w:rPr>
        <w:br/>
      </w:r>
    </w:p>
    <w:p w:rsidR="0061591B" w:rsidRDefault="0061591B" w:rsidP="00B06B94">
      <w:pPr>
        <w:rPr>
          <w:rFonts w:ascii="Times New Roman" w:hAnsi="Times New Roman" w:cs="Times New Roman"/>
          <w:sz w:val="24"/>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r w:rsidRPr="009B4874">
        <w:rPr>
          <w:rFonts w:asciiTheme="majorBidi" w:hAnsiTheme="majorBidi" w:cstheme="majorBidi"/>
          <w:b/>
          <w:bCs/>
          <w:i/>
          <w:iCs/>
        </w:rPr>
        <w:t xml:space="preserve">Summary : </w:t>
      </w:r>
      <w:r w:rsidRPr="009B4874">
        <w:rPr>
          <w:rFonts w:asciiTheme="majorBidi" w:hAnsiTheme="majorBidi" w:cstheme="majorBidi"/>
          <w:i/>
          <w:iCs/>
        </w:rPr>
        <w:t>The adverse renal effects of aminoglycosides are increasing, up to 20% in patients treated with this class of antibiotic, nephrotoxicity is manifested by the renal insufficiency with a variable degree, usually clinically silent but the return to the former state is not always obtained which progresses towards chronic kidney disease. After studying a declaration of an adverse case at the phar</w:t>
      </w:r>
      <w:r>
        <w:rPr>
          <w:rFonts w:asciiTheme="majorBidi" w:hAnsiTheme="majorBidi" w:cstheme="majorBidi"/>
          <w:i/>
          <w:iCs/>
        </w:rPr>
        <w:t>macovigilance service of the UHE of Oran</w:t>
      </w:r>
      <w:r w:rsidRPr="009B4874">
        <w:rPr>
          <w:rFonts w:asciiTheme="majorBidi" w:hAnsiTheme="majorBidi" w:cstheme="majorBidi"/>
          <w:i/>
          <w:iCs/>
        </w:rPr>
        <w:t>; The impact of nephrotoxicity of aminoglycosides in the aggravation of pre-existing renal insufficiency has been demonstrated according to the French and Anglo-Saxon method of accountability, which is why informations on pharmacological therapeutic monitoring of STP should be recommended. In conclusion, the knowledge of the factors favoring the nephrotoxicity of aminoglycosides, the respect of the dosages and the reduction of the duration of the treatment allows the practitioner to take measures in order to prevent and to reduce the frequ</w:t>
      </w:r>
      <w:r>
        <w:rPr>
          <w:rFonts w:asciiTheme="majorBidi" w:hAnsiTheme="majorBidi" w:cstheme="majorBidi"/>
          <w:i/>
          <w:iCs/>
        </w:rPr>
        <w:t>ency of the renal complications</w:t>
      </w: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Pr="009B4874" w:rsidRDefault="005852F0" w:rsidP="005852F0">
      <w:pPr>
        <w:spacing w:line="240" w:lineRule="auto"/>
        <w:rPr>
          <w:rFonts w:asciiTheme="majorBidi" w:hAnsiTheme="majorBidi" w:cstheme="majorBidi"/>
          <w:i/>
          <w:iCs/>
        </w:rPr>
      </w:pPr>
      <w:r w:rsidRPr="009B4874">
        <w:rPr>
          <w:rFonts w:asciiTheme="majorBidi" w:hAnsiTheme="majorBidi" w:cstheme="majorBidi"/>
          <w:b/>
          <w:bCs/>
          <w:i/>
          <w:iCs/>
        </w:rPr>
        <w:t xml:space="preserve">Key Words : </w:t>
      </w:r>
      <w:r w:rsidRPr="009B4874">
        <w:rPr>
          <w:rFonts w:asciiTheme="majorBidi" w:hAnsiTheme="majorBidi" w:cstheme="majorBidi"/>
          <w:i/>
          <w:iCs/>
        </w:rPr>
        <w:t>Aminoglycosides, nephrotoxicity, accountability, recommended, prevent.</w:t>
      </w: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Default="005852F0" w:rsidP="005852F0">
      <w:pPr>
        <w:autoSpaceDE w:val="0"/>
        <w:autoSpaceDN w:val="0"/>
        <w:adjustRightInd w:val="0"/>
        <w:spacing w:after="0"/>
        <w:ind w:firstLine="644"/>
        <w:jc w:val="lowKashida"/>
        <w:rPr>
          <w:rFonts w:asciiTheme="majorBidi" w:hAnsiTheme="majorBidi" w:cstheme="majorBidi"/>
          <w:i/>
          <w:iCs/>
        </w:rPr>
      </w:pPr>
    </w:p>
    <w:p w:rsidR="005852F0" w:rsidRPr="009B4874" w:rsidRDefault="005852F0" w:rsidP="005852F0">
      <w:pPr>
        <w:autoSpaceDE w:val="0"/>
        <w:autoSpaceDN w:val="0"/>
        <w:adjustRightInd w:val="0"/>
        <w:spacing w:after="0"/>
        <w:ind w:firstLine="644"/>
        <w:jc w:val="lowKashida"/>
        <w:rPr>
          <w:rFonts w:asciiTheme="majorBidi" w:hAnsiTheme="majorBidi" w:cstheme="majorBidi"/>
          <w:i/>
          <w:iCs/>
        </w:rPr>
        <w:sectPr w:rsidR="005852F0" w:rsidRPr="009B4874" w:rsidSect="005852F0">
          <w:pgSz w:w="11906" w:h="16838"/>
          <w:pgMar w:top="1417" w:right="1417" w:bottom="1417" w:left="1417" w:header="708" w:footer="708" w:gutter="0"/>
          <w:cols w:space="708"/>
          <w:docGrid w:linePitch="360"/>
        </w:sectPr>
      </w:pPr>
    </w:p>
    <w:p w:rsidR="005852F0" w:rsidRPr="005852F0" w:rsidRDefault="005852F0" w:rsidP="005852F0">
      <w:pPr>
        <w:autoSpaceDE w:val="0"/>
        <w:autoSpaceDN w:val="0"/>
        <w:adjustRightInd w:val="0"/>
        <w:spacing w:after="0" w:line="240" w:lineRule="auto"/>
        <w:rPr>
          <w:rFonts w:asciiTheme="majorBidi" w:hAnsiTheme="majorBidi" w:cstheme="majorBidi"/>
          <w:b/>
          <w:bCs/>
          <w:u w:val="single"/>
          <w:lang w:val="fr-FR"/>
        </w:rPr>
      </w:pPr>
      <w:r w:rsidRPr="005852F0">
        <w:rPr>
          <w:rFonts w:asciiTheme="majorBidi" w:hAnsiTheme="majorBidi" w:cstheme="majorBidi"/>
          <w:b/>
          <w:bCs/>
          <w:u w:val="single"/>
          <w:lang w:val="fr-FR"/>
        </w:rPr>
        <w:lastRenderedPageBreak/>
        <w:t>Bibliographic References:</w:t>
      </w:r>
    </w:p>
    <w:p w:rsidR="005852F0" w:rsidRPr="005852F0" w:rsidRDefault="005852F0" w:rsidP="005852F0">
      <w:pPr>
        <w:autoSpaceDE w:val="0"/>
        <w:autoSpaceDN w:val="0"/>
        <w:adjustRightInd w:val="0"/>
        <w:spacing w:after="0" w:line="240" w:lineRule="auto"/>
        <w:rPr>
          <w:rFonts w:asciiTheme="majorBidi" w:hAnsiTheme="majorBidi" w:cstheme="majorBidi"/>
          <w:u w:val="single"/>
          <w:lang w:val="fr-FR"/>
        </w:rPr>
      </w:pPr>
    </w:p>
    <w:p w:rsidR="005852F0" w:rsidRPr="005852F0" w:rsidRDefault="005852F0" w:rsidP="005852F0">
      <w:pPr>
        <w:autoSpaceDE w:val="0"/>
        <w:autoSpaceDN w:val="0"/>
        <w:adjustRightInd w:val="0"/>
        <w:spacing w:after="0" w:line="240" w:lineRule="auto"/>
        <w:rPr>
          <w:rFonts w:asciiTheme="majorBidi" w:hAnsiTheme="majorBidi" w:cstheme="majorBidi"/>
          <w:i/>
          <w:iCs/>
          <w:sz w:val="16"/>
          <w:szCs w:val="16"/>
          <w:lang w:val="fr-FR"/>
        </w:rPr>
      </w:pPr>
      <w:r w:rsidRPr="005852F0">
        <w:rPr>
          <w:rFonts w:asciiTheme="majorBidi" w:hAnsiTheme="majorBidi" w:cstheme="majorBidi"/>
          <w:i/>
          <w:iCs/>
          <w:sz w:val="16"/>
          <w:szCs w:val="16"/>
          <w:lang w:val="fr-FR"/>
        </w:rPr>
        <w:t xml:space="preserve">[1] </w:t>
      </w:r>
      <w:r w:rsidRPr="005852F0">
        <w:rPr>
          <w:rFonts w:asciiTheme="majorBidi" w:hAnsiTheme="majorBidi" w:cstheme="majorBidi"/>
          <w:b/>
          <w:bCs/>
          <w:i/>
          <w:iCs/>
          <w:sz w:val="16"/>
          <w:szCs w:val="16"/>
          <w:lang w:val="fr-FR"/>
        </w:rPr>
        <w:t>A.Lorre</w:t>
      </w:r>
      <w:r w:rsidRPr="005852F0">
        <w:rPr>
          <w:rFonts w:asciiTheme="majorBidi" w:hAnsiTheme="majorBidi" w:cstheme="majorBidi"/>
          <w:i/>
          <w:iCs/>
          <w:sz w:val="16"/>
          <w:szCs w:val="16"/>
          <w:lang w:val="fr-FR"/>
        </w:rPr>
        <w:t>, C. Menard, Drug nephrotoxicity, “ comment limiter les dégâts Le Médecin du Québec”, volume 37, number 6, june 2002.</w:t>
      </w:r>
    </w:p>
    <w:p w:rsidR="005852F0" w:rsidRPr="005852F0" w:rsidRDefault="005852F0" w:rsidP="005852F0">
      <w:pPr>
        <w:autoSpaceDE w:val="0"/>
        <w:autoSpaceDN w:val="0"/>
        <w:adjustRightInd w:val="0"/>
        <w:spacing w:after="0" w:line="240" w:lineRule="auto"/>
        <w:rPr>
          <w:rFonts w:asciiTheme="majorBidi" w:hAnsiTheme="majorBidi" w:cstheme="majorBidi"/>
          <w:i/>
          <w:iCs/>
          <w:sz w:val="16"/>
          <w:szCs w:val="16"/>
          <w:lang w:val="fr-FR"/>
        </w:rPr>
      </w:pPr>
    </w:p>
    <w:p w:rsidR="005852F0" w:rsidRPr="005852F0" w:rsidRDefault="005852F0" w:rsidP="005852F0">
      <w:pPr>
        <w:autoSpaceDE w:val="0"/>
        <w:autoSpaceDN w:val="0"/>
        <w:adjustRightInd w:val="0"/>
        <w:spacing w:after="0" w:line="240" w:lineRule="auto"/>
        <w:rPr>
          <w:rFonts w:asciiTheme="majorBidi" w:hAnsiTheme="majorBidi" w:cstheme="majorBidi"/>
          <w:i/>
          <w:iCs/>
          <w:sz w:val="16"/>
          <w:szCs w:val="16"/>
          <w:lang w:val="fr-FR"/>
        </w:rPr>
      </w:pPr>
      <w:r w:rsidRPr="005852F0">
        <w:rPr>
          <w:rFonts w:asciiTheme="majorBidi" w:hAnsiTheme="majorBidi" w:cstheme="majorBidi"/>
          <w:i/>
          <w:iCs/>
          <w:sz w:val="16"/>
          <w:szCs w:val="16"/>
          <w:lang w:val="fr-FR"/>
        </w:rPr>
        <w:t xml:space="preserve">[2] </w:t>
      </w:r>
      <w:r w:rsidRPr="005852F0">
        <w:rPr>
          <w:rFonts w:asciiTheme="majorBidi" w:hAnsiTheme="majorBidi" w:cstheme="majorBidi"/>
          <w:b/>
          <w:bCs/>
          <w:i/>
          <w:iCs/>
          <w:sz w:val="16"/>
          <w:szCs w:val="16"/>
          <w:lang w:val="fr-FR"/>
        </w:rPr>
        <w:t>Bénédicte Stengel</w:t>
      </w:r>
      <w:r w:rsidRPr="005852F0">
        <w:rPr>
          <w:rFonts w:asciiTheme="majorBidi" w:hAnsiTheme="majorBidi" w:cstheme="majorBidi"/>
          <w:i/>
          <w:iCs/>
          <w:sz w:val="16"/>
          <w:szCs w:val="16"/>
          <w:lang w:val="fr-FR"/>
        </w:rPr>
        <w:t>, Pierre Simon, nephrotoxic with iatrogenic origin, professional or environmental</w:t>
      </w:r>
    </w:p>
    <w:p w:rsidR="005852F0" w:rsidRPr="006808C5" w:rsidRDefault="005852F0" w:rsidP="005852F0">
      <w:pPr>
        <w:pStyle w:val="Pa3"/>
        <w:rPr>
          <w:rFonts w:asciiTheme="majorBidi" w:hAnsiTheme="majorBidi" w:cstheme="majorBidi"/>
          <w:i/>
          <w:iCs/>
          <w:sz w:val="16"/>
          <w:szCs w:val="16"/>
        </w:rPr>
      </w:pPr>
    </w:p>
    <w:p w:rsidR="005852F0" w:rsidRPr="006808C5" w:rsidRDefault="005852F0" w:rsidP="005852F0">
      <w:pPr>
        <w:pStyle w:val="Pa3"/>
        <w:rPr>
          <w:rFonts w:asciiTheme="majorBidi" w:hAnsiTheme="majorBidi" w:cstheme="majorBidi"/>
          <w:i/>
          <w:iCs/>
          <w:sz w:val="16"/>
          <w:szCs w:val="16"/>
        </w:rPr>
      </w:pPr>
      <w:r w:rsidRPr="006808C5">
        <w:rPr>
          <w:rFonts w:asciiTheme="majorBidi" w:hAnsiTheme="majorBidi" w:cstheme="majorBidi"/>
          <w:i/>
          <w:iCs/>
          <w:sz w:val="16"/>
          <w:szCs w:val="16"/>
        </w:rPr>
        <w:t>[3]</w:t>
      </w:r>
      <w:r w:rsidRPr="006808C5">
        <w:rPr>
          <w:rFonts w:asciiTheme="majorBidi" w:hAnsiTheme="majorBidi" w:cstheme="majorBidi"/>
          <w:b/>
          <w:bCs/>
          <w:i/>
          <w:iCs/>
          <w:sz w:val="16"/>
          <w:szCs w:val="16"/>
        </w:rPr>
        <w:t xml:space="preserve"> Christian Combe</w:t>
      </w:r>
      <w:r w:rsidRPr="006808C5">
        <w:rPr>
          <w:rStyle w:val="A4"/>
          <w:rFonts w:asciiTheme="majorBidi" w:hAnsiTheme="majorBidi" w:cstheme="majorBidi"/>
          <w:b/>
          <w:bCs/>
          <w:i/>
          <w:iCs/>
          <w:sz w:val="16"/>
          <w:szCs w:val="16"/>
        </w:rPr>
        <w:t>a</w:t>
      </w:r>
      <w:r w:rsidRPr="006808C5">
        <w:rPr>
          <w:rStyle w:val="A4"/>
          <w:rFonts w:asciiTheme="majorBidi" w:hAnsiTheme="majorBidi" w:cstheme="majorBidi"/>
          <w:b/>
          <w:bCs/>
          <w:i/>
          <w:iCs/>
          <w:sz w:val="16"/>
          <w:szCs w:val="16"/>
          <w:vertAlign w:val="superscript"/>
        </w:rPr>
        <w:t>a</w:t>
      </w:r>
      <w:r w:rsidRPr="006808C5">
        <w:rPr>
          <w:rFonts w:asciiTheme="majorBidi" w:hAnsiTheme="majorBidi" w:cstheme="majorBidi"/>
          <w:i/>
          <w:iCs/>
          <w:sz w:val="16"/>
          <w:szCs w:val="16"/>
        </w:rPr>
        <w:t>, Olivier Kourilsky</w:t>
      </w:r>
      <w:r w:rsidRPr="006808C5">
        <w:rPr>
          <w:rStyle w:val="A4"/>
          <w:rFonts w:asciiTheme="majorBidi" w:hAnsiTheme="majorBidi" w:cstheme="majorBidi"/>
          <w:i/>
          <w:iCs/>
          <w:sz w:val="16"/>
          <w:szCs w:val="16"/>
          <w:vertAlign w:val="superscript"/>
        </w:rPr>
        <w:t>b</w:t>
      </w:r>
      <w:r w:rsidRPr="006808C5">
        <w:rPr>
          <w:rStyle w:val="A4"/>
          <w:rFonts w:asciiTheme="majorBidi" w:hAnsiTheme="majorBidi" w:cstheme="majorBidi"/>
          <w:i/>
          <w:iCs/>
          <w:sz w:val="16"/>
          <w:szCs w:val="16"/>
        </w:rPr>
        <w:t>, “</w:t>
      </w:r>
      <w:r w:rsidRPr="006808C5">
        <w:rPr>
          <w:rFonts w:asciiTheme="majorBidi" w:hAnsiTheme="majorBidi" w:cstheme="majorBidi"/>
          <w:i/>
          <w:iCs/>
          <w:sz w:val="16"/>
          <w:szCs w:val="16"/>
        </w:rPr>
        <w:t xml:space="preserve">Maladie rénale chronique, </w:t>
      </w:r>
      <w:r w:rsidRPr="006808C5">
        <w:rPr>
          <w:rStyle w:val="A4"/>
          <w:rFonts w:asciiTheme="majorBidi" w:hAnsiTheme="majorBidi" w:cstheme="majorBidi"/>
          <w:i/>
          <w:iCs/>
          <w:sz w:val="16"/>
          <w:szCs w:val="16"/>
        </w:rPr>
        <w:t>a</w:t>
      </w:r>
      <w:r w:rsidRPr="006808C5">
        <w:rPr>
          <w:rFonts w:asciiTheme="majorBidi" w:hAnsiTheme="majorBidi" w:cstheme="majorBidi"/>
          <w:i/>
          <w:iCs/>
          <w:sz w:val="16"/>
          <w:szCs w:val="16"/>
        </w:rPr>
        <w:t xml:space="preserve">Professeur des universités-praticien hospitalier, chef de service, service de néphrologie-transplantation-dialyse”, CHU  of Bordeaux, 33076 Bordeaux, France, </w:t>
      </w:r>
      <w:r w:rsidRPr="006808C5">
        <w:rPr>
          <w:rStyle w:val="A4"/>
          <w:rFonts w:asciiTheme="majorBidi" w:hAnsiTheme="majorBidi" w:cstheme="majorBidi"/>
          <w:i/>
          <w:iCs/>
          <w:sz w:val="16"/>
          <w:szCs w:val="16"/>
        </w:rPr>
        <w:t>b</w:t>
      </w:r>
      <w:r w:rsidRPr="006808C5">
        <w:rPr>
          <w:rFonts w:asciiTheme="majorBidi" w:hAnsiTheme="majorBidi" w:cstheme="majorBidi"/>
          <w:i/>
          <w:iCs/>
          <w:sz w:val="16"/>
          <w:szCs w:val="16"/>
        </w:rPr>
        <w:t>Ex-head of CH sud-francilien, 91014 Evry, France</w:t>
      </w:r>
    </w:p>
    <w:p w:rsidR="005852F0" w:rsidRPr="005852F0" w:rsidRDefault="005852F0" w:rsidP="005852F0">
      <w:pPr>
        <w:autoSpaceDE w:val="0"/>
        <w:autoSpaceDN w:val="0"/>
        <w:adjustRightInd w:val="0"/>
        <w:spacing w:after="0" w:line="240" w:lineRule="auto"/>
        <w:rPr>
          <w:rFonts w:asciiTheme="majorBidi" w:hAnsiTheme="majorBidi" w:cstheme="majorBidi"/>
          <w:i/>
          <w:iCs/>
          <w:sz w:val="16"/>
          <w:szCs w:val="16"/>
          <w:lang w:val="fr-FR"/>
        </w:rPr>
      </w:pPr>
    </w:p>
    <w:p w:rsidR="005852F0" w:rsidRPr="005852F0" w:rsidRDefault="005852F0" w:rsidP="005852F0">
      <w:pPr>
        <w:autoSpaceDE w:val="0"/>
        <w:autoSpaceDN w:val="0"/>
        <w:adjustRightInd w:val="0"/>
        <w:spacing w:after="0" w:line="240" w:lineRule="auto"/>
        <w:rPr>
          <w:rFonts w:asciiTheme="majorBidi" w:hAnsiTheme="majorBidi" w:cstheme="majorBidi"/>
          <w:i/>
          <w:iCs/>
          <w:sz w:val="16"/>
          <w:szCs w:val="16"/>
          <w:lang w:val="fr-FR"/>
        </w:rPr>
      </w:pPr>
      <w:r w:rsidRPr="005852F0">
        <w:rPr>
          <w:rFonts w:asciiTheme="majorBidi" w:hAnsiTheme="majorBidi" w:cstheme="majorBidi"/>
          <w:i/>
          <w:iCs/>
          <w:sz w:val="16"/>
          <w:szCs w:val="16"/>
          <w:lang w:val="fr-FR"/>
        </w:rPr>
        <w:t xml:space="preserve">[4] </w:t>
      </w:r>
      <w:r w:rsidRPr="005852F0">
        <w:rPr>
          <w:rFonts w:asciiTheme="majorBidi" w:hAnsiTheme="majorBidi" w:cstheme="majorBidi"/>
          <w:b/>
          <w:bCs/>
          <w:i/>
          <w:iCs/>
          <w:sz w:val="16"/>
          <w:szCs w:val="16"/>
          <w:lang w:val="fr-FR"/>
        </w:rPr>
        <w:t>D. Commandeur,</w:t>
      </w:r>
      <w:r w:rsidRPr="005852F0">
        <w:rPr>
          <w:rFonts w:asciiTheme="majorBidi" w:hAnsiTheme="majorBidi" w:cstheme="majorBidi"/>
          <w:i/>
          <w:iCs/>
          <w:sz w:val="16"/>
          <w:szCs w:val="16"/>
          <w:lang w:val="fr-FR"/>
        </w:rPr>
        <w:t xml:space="preserve"> S. Eyrieux, A. Le Noël, V.B. Nguyen, C. Giacardi,M. Danguy des Déserts, M.-L. Buguet-Brown, I. Drouillard, Monitoring aminoglycosides with reanimation</w:t>
      </w:r>
    </w:p>
    <w:p w:rsidR="005852F0" w:rsidRPr="005852F0" w:rsidRDefault="005852F0" w:rsidP="005852F0">
      <w:pPr>
        <w:autoSpaceDE w:val="0"/>
        <w:autoSpaceDN w:val="0"/>
        <w:adjustRightInd w:val="0"/>
        <w:spacing w:after="0" w:line="240" w:lineRule="auto"/>
        <w:rPr>
          <w:rFonts w:asciiTheme="majorBidi" w:hAnsiTheme="majorBidi" w:cstheme="majorBidi"/>
          <w:i/>
          <w:iCs/>
          <w:sz w:val="16"/>
          <w:szCs w:val="16"/>
          <w:lang w:val="fr-FR"/>
        </w:rPr>
      </w:pPr>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r w:rsidRPr="009B4874">
        <w:rPr>
          <w:rFonts w:asciiTheme="majorBidi" w:hAnsiTheme="majorBidi" w:cstheme="majorBidi"/>
          <w:i/>
          <w:iCs/>
          <w:sz w:val="16"/>
          <w:szCs w:val="16"/>
        </w:rPr>
        <w:t xml:space="preserve">[5] </w:t>
      </w:r>
      <w:r w:rsidRPr="009B4874">
        <w:rPr>
          <w:rFonts w:asciiTheme="majorBidi" w:hAnsiTheme="majorBidi" w:cstheme="majorBidi"/>
          <w:b/>
          <w:bCs/>
          <w:i/>
          <w:iCs/>
          <w:sz w:val="16"/>
          <w:szCs w:val="16"/>
        </w:rPr>
        <w:t>F. Schortgen</w:t>
      </w:r>
      <w:r w:rsidRPr="009B4874">
        <w:rPr>
          <w:rFonts w:asciiTheme="majorBidi" w:hAnsiTheme="majorBidi" w:cstheme="majorBidi"/>
          <w:i/>
          <w:iCs/>
          <w:sz w:val="16"/>
          <w:szCs w:val="16"/>
        </w:rPr>
        <w:t>, N</w:t>
      </w:r>
      <w:r>
        <w:rPr>
          <w:rFonts w:asciiTheme="majorBidi" w:hAnsiTheme="majorBidi" w:cstheme="majorBidi"/>
          <w:i/>
          <w:iCs/>
          <w:sz w:val="16"/>
          <w:szCs w:val="16"/>
        </w:rPr>
        <w:t>e</w:t>
      </w:r>
      <w:r w:rsidRPr="009B4874">
        <w:rPr>
          <w:rFonts w:asciiTheme="majorBidi" w:hAnsiTheme="majorBidi" w:cstheme="majorBidi"/>
          <w:i/>
          <w:iCs/>
          <w:sz w:val="16"/>
          <w:szCs w:val="16"/>
        </w:rPr>
        <w:t>phrotoxicit</w:t>
      </w:r>
      <w:r>
        <w:rPr>
          <w:rFonts w:asciiTheme="majorBidi" w:hAnsiTheme="majorBidi" w:cstheme="majorBidi"/>
          <w:i/>
          <w:iCs/>
          <w:sz w:val="16"/>
          <w:szCs w:val="16"/>
        </w:rPr>
        <w:t>y</w:t>
      </w:r>
      <w:r w:rsidRPr="009B4874">
        <w:rPr>
          <w:rFonts w:asciiTheme="majorBidi" w:hAnsiTheme="majorBidi" w:cstheme="majorBidi"/>
          <w:i/>
          <w:iCs/>
          <w:sz w:val="16"/>
          <w:szCs w:val="16"/>
        </w:rPr>
        <w:t xml:space="preserve"> </w:t>
      </w:r>
      <w:r>
        <w:rPr>
          <w:rFonts w:asciiTheme="majorBidi" w:hAnsiTheme="majorBidi" w:cstheme="majorBidi"/>
          <w:i/>
          <w:iCs/>
          <w:sz w:val="16"/>
          <w:szCs w:val="16"/>
        </w:rPr>
        <w:t>and drugs</w:t>
      </w:r>
      <w:r w:rsidRPr="009B4874">
        <w:rPr>
          <w:rFonts w:asciiTheme="majorBidi" w:hAnsiTheme="majorBidi" w:cstheme="majorBidi"/>
          <w:i/>
          <w:iCs/>
          <w:sz w:val="16"/>
          <w:szCs w:val="16"/>
        </w:rPr>
        <w:t xml:space="preserve">, Drugs and renaltoxicity, </w:t>
      </w:r>
      <w:r>
        <w:rPr>
          <w:rFonts w:asciiTheme="majorBidi" w:hAnsiTheme="majorBidi" w:cstheme="majorBidi"/>
          <w:i/>
          <w:iCs/>
          <w:sz w:val="16"/>
          <w:szCs w:val="16"/>
        </w:rPr>
        <w:t>Medical reanimation service</w:t>
      </w:r>
      <w:r w:rsidRPr="009B4874">
        <w:rPr>
          <w:rFonts w:asciiTheme="majorBidi" w:hAnsiTheme="majorBidi" w:cstheme="majorBidi"/>
          <w:i/>
          <w:iCs/>
          <w:sz w:val="16"/>
          <w:szCs w:val="16"/>
        </w:rPr>
        <w:t>, Henri-Mondor</w:t>
      </w:r>
      <w:r>
        <w:rPr>
          <w:rFonts w:asciiTheme="majorBidi" w:hAnsiTheme="majorBidi" w:cstheme="majorBidi"/>
          <w:i/>
          <w:iCs/>
          <w:sz w:val="16"/>
          <w:szCs w:val="16"/>
        </w:rPr>
        <w:t xml:space="preserve"> hospital</w:t>
      </w:r>
      <w:r w:rsidRPr="009B4874">
        <w:rPr>
          <w:rFonts w:asciiTheme="majorBidi" w:hAnsiTheme="majorBidi" w:cstheme="majorBidi"/>
          <w:i/>
          <w:iCs/>
          <w:sz w:val="16"/>
          <w:szCs w:val="16"/>
        </w:rPr>
        <w:t>, 94010 Créteil cedex, France</w:t>
      </w:r>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p>
    <w:p w:rsidR="005852F0" w:rsidRPr="005852F0" w:rsidRDefault="005852F0" w:rsidP="005852F0">
      <w:pPr>
        <w:autoSpaceDE w:val="0"/>
        <w:autoSpaceDN w:val="0"/>
        <w:adjustRightInd w:val="0"/>
        <w:spacing w:after="0" w:line="240" w:lineRule="auto"/>
        <w:rPr>
          <w:rFonts w:asciiTheme="majorBidi" w:hAnsiTheme="majorBidi" w:cstheme="majorBidi"/>
          <w:i/>
          <w:iCs/>
          <w:sz w:val="16"/>
          <w:szCs w:val="16"/>
          <w:lang w:val="fr-FR"/>
        </w:rPr>
      </w:pPr>
      <w:r w:rsidRPr="005852F0">
        <w:rPr>
          <w:rFonts w:asciiTheme="majorBidi" w:hAnsiTheme="majorBidi" w:cstheme="majorBidi"/>
          <w:i/>
          <w:iCs/>
          <w:sz w:val="16"/>
          <w:szCs w:val="16"/>
          <w:lang w:val="fr-FR"/>
        </w:rPr>
        <w:t xml:space="preserve">[6] </w:t>
      </w:r>
      <w:r w:rsidRPr="005852F0">
        <w:rPr>
          <w:rFonts w:asciiTheme="majorBidi" w:hAnsiTheme="majorBidi" w:cstheme="majorBidi"/>
          <w:b/>
          <w:bCs/>
          <w:i/>
          <w:iCs/>
          <w:sz w:val="16"/>
          <w:szCs w:val="16"/>
          <w:lang w:val="fr-FR"/>
        </w:rPr>
        <w:t>J. L. Dupond</w:t>
      </w:r>
      <w:r w:rsidRPr="005852F0">
        <w:rPr>
          <w:rFonts w:asciiTheme="majorBidi" w:hAnsiTheme="majorBidi" w:cstheme="majorBidi"/>
          <w:i/>
          <w:iCs/>
          <w:sz w:val="16"/>
          <w:szCs w:val="16"/>
          <w:lang w:val="fr-FR"/>
        </w:rPr>
        <w:t>, R. Gibey, M. iehl-robert, H. Mallet, R. Leconte Des Floris, J. C. Henry, Aminoglycoside and cephalosporin néphrotoxicity , “Intérêt de I'étude des profils iso-enzymatiques de la N-acétyl-i -D-glucosaminidase (NAG), CHU Besangon, 1, place Saint-Jacques,25030Besan¢on Cedex.”</w:t>
      </w:r>
    </w:p>
    <w:p w:rsidR="005852F0" w:rsidRPr="005852F0" w:rsidRDefault="005852F0" w:rsidP="005852F0">
      <w:pPr>
        <w:autoSpaceDE w:val="0"/>
        <w:autoSpaceDN w:val="0"/>
        <w:adjustRightInd w:val="0"/>
        <w:spacing w:after="0" w:line="240" w:lineRule="auto"/>
        <w:rPr>
          <w:rFonts w:asciiTheme="majorBidi" w:hAnsiTheme="majorBidi" w:cstheme="majorBidi"/>
          <w:i/>
          <w:iCs/>
          <w:sz w:val="16"/>
          <w:szCs w:val="16"/>
          <w:lang w:val="fr-FR"/>
        </w:rPr>
      </w:pPr>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r w:rsidRPr="005852F0">
        <w:rPr>
          <w:rFonts w:asciiTheme="majorBidi" w:hAnsiTheme="majorBidi" w:cstheme="majorBidi"/>
          <w:i/>
          <w:iCs/>
          <w:sz w:val="16"/>
          <w:szCs w:val="16"/>
          <w:lang w:val="fr-FR"/>
        </w:rPr>
        <w:t xml:space="preserve">[7] </w:t>
      </w:r>
      <w:r w:rsidRPr="005852F0">
        <w:rPr>
          <w:rFonts w:asciiTheme="majorBidi" w:hAnsiTheme="majorBidi" w:cstheme="majorBidi"/>
          <w:b/>
          <w:bCs/>
          <w:i/>
          <w:iCs/>
          <w:sz w:val="16"/>
          <w:szCs w:val="16"/>
          <w:lang w:val="fr-FR"/>
        </w:rPr>
        <w:t>M.-L. Cittanova</w:t>
      </w:r>
      <w:r w:rsidRPr="005852F0">
        <w:rPr>
          <w:rFonts w:asciiTheme="majorBidi" w:hAnsiTheme="majorBidi" w:cstheme="majorBidi"/>
          <w:i/>
          <w:iCs/>
          <w:sz w:val="16"/>
          <w:szCs w:val="16"/>
          <w:lang w:val="fr-FR"/>
        </w:rPr>
        <w:t xml:space="preserve">, “Quels sont les facteurs de risque toxiques et pharmacologiques impliqués dans la survenue d’une IRA dans la période périopératoire ?” </w:t>
      </w:r>
      <w:r w:rsidRPr="009B4874">
        <w:rPr>
          <w:rFonts w:asciiTheme="majorBidi" w:hAnsiTheme="majorBidi" w:cstheme="majorBidi"/>
          <w:i/>
          <w:iCs/>
          <w:sz w:val="16"/>
          <w:szCs w:val="16"/>
        </w:rPr>
        <w:t>GARHPA, Antony</w:t>
      </w:r>
      <w:r>
        <w:rPr>
          <w:rFonts w:asciiTheme="majorBidi" w:hAnsiTheme="majorBidi" w:cstheme="majorBidi"/>
          <w:i/>
          <w:iCs/>
          <w:sz w:val="16"/>
          <w:szCs w:val="16"/>
        </w:rPr>
        <w:t xml:space="preserve"> Private hospital</w:t>
      </w:r>
      <w:r w:rsidRPr="009B4874">
        <w:rPr>
          <w:rFonts w:asciiTheme="majorBidi" w:hAnsiTheme="majorBidi" w:cstheme="majorBidi"/>
          <w:i/>
          <w:iCs/>
          <w:sz w:val="16"/>
          <w:szCs w:val="16"/>
        </w:rPr>
        <w:t>, 1, rue Velpeau, 92160 Antony, France</w:t>
      </w:r>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r w:rsidRPr="009B4874">
        <w:rPr>
          <w:rFonts w:asciiTheme="majorBidi" w:hAnsiTheme="majorBidi" w:cstheme="majorBidi"/>
          <w:i/>
          <w:iCs/>
          <w:sz w:val="16"/>
          <w:szCs w:val="16"/>
        </w:rPr>
        <w:t xml:space="preserve">[8] </w:t>
      </w:r>
      <w:r w:rsidRPr="009B4874">
        <w:rPr>
          <w:rFonts w:asciiTheme="majorBidi" w:hAnsiTheme="majorBidi" w:cstheme="majorBidi"/>
          <w:b/>
          <w:bCs/>
          <w:i/>
          <w:iCs/>
          <w:sz w:val="16"/>
          <w:szCs w:val="16"/>
        </w:rPr>
        <w:t>M. Neuman</w:t>
      </w:r>
      <w:r w:rsidRPr="009B4874">
        <w:rPr>
          <w:rFonts w:asciiTheme="majorBidi" w:hAnsiTheme="majorBidi" w:cstheme="majorBidi"/>
          <w:i/>
          <w:iCs/>
          <w:sz w:val="16"/>
          <w:szCs w:val="16"/>
        </w:rPr>
        <w:t xml:space="preserve">, </w:t>
      </w:r>
      <w:r w:rsidRPr="004C338A">
        <w:rPr>
          <w:rFonts w:asciiTheme="majorBidi" w:hAnsiTheme="majorBidi" w:cstheme="majorBidi"/>
          <w:i/>
          <w:iCs/>
          <w:sz w:val="16"/>
          <w:szCs w:val="16"/>
        </w:rPr>
        <w:t>Comparative study of the nephrotoxicity of amikacin administered alone or in combination with fosfomycin</w:t>
      </w:r>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p>
    <w:p w:rsidR="005852F0" w:rsidRPr="005852F0" w:rsidRDefault="005852F0" w:rsidP="005852F0">
      <w:pPr>
        <w:autoSpaceDE w:val="0"/>
        <w:autoSpaceDN w:val="0"/>
        <w:adjustRightInd w:val="0"/>
        <w:spacing w:after="0" w:line="240" w:lineRule="auto"/>
        <w:rPr>
          <w:rFonts w:asciiTheme="majorBidi" w:hAnsiTheme="majorBidi" w:cstheme="majorBidi"/>
          <w:i/>
          <w:iCs/>
          <w:sz w:val="16"/>
          <w:szCs w:val="16"/>
          <w:lang w:val="fr-FR"/>
        </w:rPr>
      </w:pPr>
      <w:r w:rsidRPr="005852F0">
        <w:rPr>
          <w:rFonts w:asciiTheme="majorBidi" w:hAnsiTheme="majorBidi" w:cstheme="majorBidi"/>
          <w:i/>
          <w:iCs/>
          <w:sz w:val="16"/>
          <w:szCs w:val="16"/>
          <w:lang w:val="fr-FR"/>
        </w:rPr>
        <w:t xml:space="preserve">[9] </w:t>
      </w:r>
      <w:r w:rsidRPr="005852F0">
        <w:rPr>
          <w:rFonts w:asciiTheme="majorBidi" w:hAnsiTheme="majorBidi" w:cstheme="majorBidi"/>
          <w:b/>
          <w:bCs/>
          <w:i/>
          <w:iCs/>
          <w:sz w:val="16"/>
          <w:szCs w:val="16"/>
          <w:lang w:val="fr-FR"/>
        </w:rPr>
        <w:t>M.-R. Losser</w:t>
      </w:r>
      <w:r w:rsidRPr="005852F0">
        <w:rPr>
          <w:rFonts w:asciiTheme="majorBidi" w:hAnsiTheme="majorBidi" w:cstheme="majorBidi"/>
          <w:i/>
          <w:iCs/>
          <w:sz w:val="16"/>
          <w:szCs w:val="16"/>
          <w:lang w:val="fr-FR"/>
        </w:rPr>
        <w:t>, “Quels sont les mécanismes d’agression rénalesur lesquels il est possible d’intervenir ?”</w:t>
      </w:r>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r>
        <w:rPr>
          <w:rFonts w:asciiTheme="majorBidi" w:hAnsiTheme="majorBidi" w:cstheme="majorBidi"/>
          <w:i/>
          <w:iCs/>
          <w:sz w:val="16"/>
          <w:szCs w:val="16"/>
        </w:rPr>
        <w:t>(</w:t>
      </w:r>
      <w:r w:rsidRPr="009B4874">
        <w:rPr>
          <w:rFonts w:asciiTheme="majorBidi" w:hAnsiTheme="majorBidi" w:cstheme="majorBidi"/>
          <w:i/>
          <w:iCs/>
          <w:sz w:val="16"/>
          <w:szCs w:val="16"/>
        </w:rPr>
        <w:t>On what mechanism of renal aggression is it possible to intervene?</w:t>
      </w:r>
      <w:r>
        <w:rPr>
          <w:rFonts w:asciiTheme="majorBidi" w:hAnsiTheme="majorBidi" w:cstheme="majorBidi"/>
          <w:i/>
          <w:iCs/>
          <w:sz w:val="16"/>
          <w:szCs w:val="16"/>
        </w:rPr>
        <w:t>)</w:t>
      </w:r>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r w:rsidRPr="009B4874">
        <w:rPr>
          <w:rFonts w:asciiTheme="majorBidi" w:hAnsiTheme="majorBidi" w:cstheme="majorBidi"/>
          <w:i/>
          <w:iCs/>
          <w:sz w:val="16"/>
          <w:szCs w:val="16"/>
        </w:rPr>
        <w:t xml:space="preserve">[10] </w:t>
      </w:r>
      <w:r w:rsidRPr="009B4874">
        <w:rPr>
          <w:rFonts w:asciiTheme="majorBidi" w:hAnsiTheme="majorBidi" w:cstheme="majorBidi"/>
          <w:b/>
          <w:bCs/>
          <w:i/>
          <w:iCs/>
          <w:sz w:val="16"/>
          <w:szCs w:val="16"/>
        </w:rPr>
        <w:t>P. Cochat</w:t>
      </w:r>
      <w:r w:rsidRPr="009B4874">
        <w:rPr>
          <w:rFonts w:asciiTheme="majorBidi" w:hAnsiTheme="majorBidi" w:cstheme="majorBidi"/>
          <w:i/>
          <w:iCs/>
          <w:sz w:val="16"/>
          <w:szCs w:val="16"/>
        </w:rPr>
        <w:t xml:space="preserve"> (</w:t>
      </w:r>
      <w:r w:rsidRPr="004C338A">
        <w:rPr>
          <w:rFonts w:asciiTheme="majorBidi" w:hAnsiTheme="majorBidi" w:cstheme="majorBidi"/>
          <w:i/>
          <w:iCs/>
          <w:sz w:val="16"/>
          <w:szCs w:val="16"/>
        </w:rPr>
        <w:t>Professor of Universities, hospital practitioner</w:t>
      </w:r>
      <w:r w:rsidRPr="009B4874">
        <w:rPr>
          <w:rFonts w:asciiTheme="majorBidi" w:hAnsiTheme="majorBidi" w:cstheme="majorBidi"/>
          <w:i/>
          <w:iCs/>
          <w:sz w:val="16"/>
          <w:szCs w:val="16"/>
        </w:rPr>
        <w:t>), L. Dubourg (</w:t>
      </w:r>
      <w:r w:rsidRPr="004C338A">
        <w:rPr>
          <w:rFonts w:asciiTheme="majorBidi" w:hAnsiTheme="majorBidi" w:cstheme="majorBidi"/>
          <w:i/>
          <w:iCs/>
          <w:sz w:val="16"/>
          <w:szCs w:val="16"/>
        </w:rPr>
        <w:t>University lecturer, hospital practitioner</w:t>
      </w:r>
      <w:r w:rsidRPr="009B4874">
        <w:rPr>
          <w:rFonts w:asciiTheme="majorBidi" w:hAnsiTheme="majorBidi" w:cstheme="majorBidi"/>
          <w:i/>
          <w:iCs/>
          <w:sz w:val="16"/>
          <w:szCs w:val="16"/>
        </w:rPr>
        <w:t xml:space="preserve">), Rein et médicaments, Drugs and the kidneya </w:t>
      </w:r>
      <w:r>
        <w:rPr>
          <w:rFonts w:asciiTheme="majorBidi" w:hAnsiTheme="majorBidi" w:cstheme="majorBidi"/>
          <w:i/>
          <w:iCs/>
          <w:sz w:val="16"/>
          <w:szCs w:val="16"/>
        </w:rPr>
        <w:t xml:space="preserve"> </w:t>
      </w:r>
      <w:r w:rsidRPr="004C338A">
        <w:rPr>
          <w:rFonts w:asciiTheme="majorBidi" w:hAnsiTheme="majorBidi" w:cstheme="majorBidi"/>
          <w:i/>
          <w:iCs/>
          <w:sz w:val="16"/>
          <w:szCs w:val="16"/>
        </w:rPr>
        <w:t xml:space="preserve">Department of Pediatrics and Inserm </w:t>
      </w:r>
      <w:r w:rsidRPr="009B4874">
        <w:rPr>
          <w:rFonts w:asciiTheme="majorBidi" w:hAnsiTheme="majorBidi" w:cstheme="majorBidi"/>
          <w:i/>
          <w:iCs/>
          <w:sz w:val="16"/>
          <w:szCs w:val="16"/>
        </w:rPr>
        <w:t xml:space="preserve">U499, Edouard Herriot </w:t>
      </w:r>
      <w:r>
        <w:rPr>
          <w:rFonts w:asciiTheme="majorBidi" w:hAnsiTheme="majorBidi" w:cstheme="majorBidi"/>
          <w:i/>
          <w:iCs/>
          <w:sz w:val="16"/>
          <w:szCs w:val="16"/>
        </w:rPr>
        <w:t>Hospital and</w:t>
      </w:r>
      <w:r w:rsidRPr="009B4874">
        <w:rPr>
          <w:rFonts w:asciiTheme="majorBidi" w:hAnsiTheme="majorBidi" w:cstheme="majorBidi"/>
          <w:i/>
          <w:iCs/>
          <w:sz w:val="16"/>
          <w:szCs w:val="16"/>
        </w:rPr>
        <w:t xml:space="preserve"> Claude Bernard</w:t>
      </w:r>
      <w:r>
        <w:rPr>
          <w:rFonts w:asciiTheme="majorBidi" w:hAnsiTheme="majorBidi" w:cstheme="majorBidi"/>
          <w:i/>
          <w:iCs/>
          <w:sz w:val="16"/>
          <w:szCs w:val="16"/>
        </w:rPr>
        <w:t xml:space="preserve"> University</w:t>
      </w:r>
      <w:r w:rsidRPr="009B4874">
        <w:rPr>
          <w:rFonts w:asciiTheme="majorBidi" w:hAnsiTheme="majorBidi" w:cstheme="majorBidi"/>
          <w:i/>
          <w:iCs/>
          <w:sz w:val="16"/>
          <w:szCs w:val="16"/>
        </w:rPr>
        <w:t>,5, place d’Arsonval, 69437 Lyon, France</w:t>
      </w:r>
    </w:p>
    <w:p w:rsidR="005852F0" w:rsidRPr="009B4874" w:rsidRDefault="005852F0" w:rsidP="005852F0">
      <w:pPr>
        <w:autoSpaceDE w:val="0"/>
        <w:autoSpaceDN w:val="0"/>
        <w:adjustRightInd w:val="0"/>
        <w:spacing w:after="0" w:line="240" w:lineRule="auto"/>
        <w:rPr>
          <w:rFonts w:asciiTheme="majorBidi" w:eastAsia="HelveticaNeueLTStd-Roman" w:hAnsiTheme="majorBidi" w:cstheme="majorBidi"/>
          <w:i/>
          <w:iCs/>
          <w:sz w:val="16"/>
          <w:szCs w:val="16"/>
        </w:rPr>
      </w:pPr>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bookmarkStart w:id="0" w:name="_GoBack"/>
      <w:bookmarkEnd w:id="0"/>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r w:rsidRPr="009B4874">
        <w:rPr>
          <w:rFonts w:asciiTheme="majorBidi" w:hAnsiTheme="majorBidi" w:cstheme="majorBidi"/>
          <w:i/>
          <w:iCs/>
          <w:sz w:val="16"/>
          <w:szCs w:val="16"/>
        </w:rPr>
        <w:t xml:space="preserve">[11] </w:t>
      </w:r>
      <w:r w:rsidRPr="009B4874">
        <w:rPr>
          <w:rFonts w:asciiTheme="majorBidi" w:eastAsia="HelveticaNeueLTStd-Roman" w:hAnsiTheme="majorBidi" w:cstheme="majorBidi"/>
          <w:b/>
          <w:bCs/>
          <w:i/>
          <w:iCs/>
          <w:sz w:val="16"/>
          <w:szCs w:val="16"/>
        </w:rPr>
        <w:t>Sarah Zimner-Rapucha</w:t>
      </w:r>
      <w:r w:rsidRPr="009B4874">
        <w:rPr>
          <w:rFonts w:asciiTheme="majorBidi" w:eastAsia="HelveticaNeueLTStd-Roman" w:hAnsiTheme="majorBidi" w:cstheme="majorBidi"/>
          <w:i/>
          <w:iCs/>
          <w:sz w:val="16"/>
          <w:szCs w:val="16"/>
        </w:rPr>
        <w:t>, Sabine Ameta, Nicolas Janusa, Gilbert Derayb, Vincent Launay-Vachera, Nephrotoxicite des medicaments</w:t>
      </w:r>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p>
    <w:p w:rsidR="005852F0" w:rsidRPr="009B4874" w:rsidRDefault="005852F0" w:rsidP="005852F0">
      <w:pPr>
        <w:autoSpaceDE w:val="0"/>
        <w:autoSpaceDN w:val="0"/>
        <w:adjustRightInd w:val="0"/>
        <w:spacing w:after="0" w:line="240" w:lineRule="auto"/>
        <w:rPr>
          <w:rFonts w:asciiTheme="majorBidi" w:hAnsiTheme="majorBidi" w:cstheme="majorBidi"/>
          <w:i/>
          <w:iCs/>
          <w:sz w:val="16"/>
          <w:szCs w:val="16"/>
        </w:rPr>
      </w:pPr>
      <w:r w:rsidRPr="009B4874">
        <w:rPr>
          <w:rFonts w:asciiTheme="majorBidi" w:hAnsiTheme="majorBidi" w:cstheme="majorBidi"/>
          <w:i/>
          <w:iCs/>
          <w:sz w:val="16"/>
          <w:szCs w:val="16"/>
        </w:rPr>
        <w:t xml:space="preserve">[12] </w:t>
      </w:r>
      <w:r w:rsidRPr="009B4874">
        <w:rPr>
          <w:rFonts w:asciiTheme="majorBidi" w:hAnsiTheme="majorBidi" w:cstheme="majorBidi"/>
          <w:b/>
          <w:bCs/>
          <w:i/>
          <w:iCs/>
          <w:sz w:val="16"/>
          <w:szCs w:val="16"/>
        </w:rPr>
        <w:t>Svetlana Karie</w:t>
      </w:r>
      <w:r w:rsidRPr="009B4874">
        <w:rPr>
          <w:rFonts w:asciiTheme="majorBidi" w:hAnsiTheme="majorBidi" w:cstheme="majorBidi"/>
          <w:i/>
          <w:iCs/>
          <w:sz w:val="16"/>
          <w:szCs w:val="16"/>
        </w:rPr>
        <w:t>, Vincent Launay-Vacher, Gilbert Deray, Corinne Isnard-Bagnis, Toxicité rénale des médicaments, Drugsrenaltoxicity, Service de néphrologie, hôpital Pitie´-Salpetriére, 47—83, boulevard de l’Hôpital, 75013 Paris, France</w:t>
      </w:r>
    </w:p>
    <w:p w:rsidR="005852F0" w:rsidRPr="009B4874" w:rsidRDefault="005852F0" w:rsidP="005852F0">
      <w:pPr>
        <w:autoSpaceDE w:val="0"/>
        <w:autoSpaceDN w:val="0"/>
        <w:adjustRightInd w:val="0"/>
        <w:spacing w:after="0" w:line="240" w:lineRule="auto"/>
        <w:rPr>
          <w:rFonts w:ascii="AdvTTc9c3bd71" w:hAnsi="AdvTTc9c3bd71" w:cs="AdvTTc9c3bd71"/>
          <w:i/>
          <w:iCs/>
          <w:sz w:val="16"/>
          <w:szCs w:val="16"/>
        </w:rPr>
      </w:pPr>
    </w:p>
    <w:p w:rsidR="005852F0" w:rsidRPr="009B4874" w:rsidRDefault="005852F0" w:rsidP="005852F0">
      <w:pPr>
        <w:autoSpaceDE w:val="0"/>
        <w:autoSpaceDN w:val="0"/>
        <w:adjustRightInd w:val="0"/>
        <w:spacing w:after="0" w:line="240" w:lineRule="auto"/>
        <w:rPr>
          <w:rFonts w:ascii="AdvTTc9c3bd71" w:hAnsi="AdvTTc9c3bd71" w:cs="AdvTTc9c3bd71"/>
          <w:i/>
          <w:iCs/>
          <w:sz w:val="16"/>
          <w:szCs w:val="16"/>
        </w:rPr>
      </w:pPr>
      <w:r w:rsidRPr="009B4874">
        <w:rPr>
          <w:rFonts w:ascii="AdvTTc9c3bd71" w:hAnsi="AdvTTc9c3bd71" w:cs="AdvTTc9c3bd71"/>
          <w:i/>
          <w:iCs/>
          <w:sz w:val="16"/>
          <w:szCs w:val="16"/>
        </w:rPr>
        <w:t xml:space="preserve">[13] </w:t>
      </w:r>
      <w:r w:rsidRPr="009B4874">
        <w:rPr>
          <w:rFonts w:ascii="AdvTTc9c3bd71" w:hAnsi="AdvTTc9c3bd71" w:cs="AdvTTc9c3bd71"/>
          <w:b/>
          <w:bCs/>
          <w:i/>
          <w:iCs/>
          <w:sz w:val="16"/>
          <w:szCs w:val="16"/>
        </w:rPr>
        <w:t>Baciewicz AM</w:t>
      </w:r>
      <w:r w:rsidRPr="009B4874">
        <w:rPr>
          <w:rFonts w:ascii="AdvTTc9c3bd71" w:hAnsi="AdvTTc9c3bd71" w:cs="AdvTTc9c3bd71"/>
          <w:i/>
          <w:iCs/>
          <w:sz w:val="16"/>
          <w:szCs w:val="16"/>
        </w:rPr>
        <w:t>, Sokos DR, Cowan RI. Aminoglycoside-associated</w:t>
      </w:r>
      <w:r>
        <w:rPr>
          <w:rFonts w:ascii="AdvTTc9c3bd71" w:hAnsi="AdvTTc9c3bd71" w:cs="AdvTTc9c3bd71"/>
          <w:i/>
          <w:iCs/>
          <w:sz w:val="16"/>
          <w:szCs w:val="16"/>
        </w:rPr>
        <w:t xml:space="preserve"> </w:t>
      </w:r>
      <w:r w:rsidRPr="009B4874">
        <w:rPr>
          <w:rFonts w:ascii="AdvTTc9c3bd71" w:hAnsi="AdvTTc9c3bd71" w:cs="AdvTTc9c3bd71"/>
          <w:i/>
          <w:iCs/>
          <w:sz w:val="16"/>
          <w:szCs w:val="16"/>
        </w:rPr>
        <w:t xml:space="preserve"> nephrotoxicity in the elderly. Ann Pharmacother 2003;37:182—6.</w:t>
      </w:r>
    </w:p>
    <w:p w:rsidR="005852F0" w:rsidRPr="009B4874" w:rsidRDefault="005852F0" w:rsidP="005852F0">
      <w:pPr>
        <w:pStyle w:val="Default"/>
        <w:rPr>
          <w:rFonts w:ascii="AdvTTc9c3bd71" w:hAnsi="AdvTTc9c3bd71" w:cs="AdvTTc9c3bd71"/>
          <w:i/>
          <w:iCs/>
          <w:sz w:val="16"/>
          <w:szCs w:val="16"/>
          <w:lang w:val="en-US"/>
        </w:rPr>
      </w:pPr>
    </w:p>
    <w:p w:rsidR="005852F0" w:rsidRPr="009B4874" w:rsidRDefault="005852F0" w:rsidP="005852F0">
      <w:pPr>
        <w:pStyle w:val="Default"/>
        <w:rPr>
          <w:rFonts w:asciiTheme="majorBidi" w:hAnsiTheme="majorBidi" w:cstheme="majorBidi"/>
          <w:i/>
          <w:iCs/>
          <w:color w:val="auto"/>
          <w:sz w:val="16"/>
          <w:szCs w:val="16"/>
          <w:lang w:val="en-US"/>
        </w:rPr>
      </w:pPr>
      <w:r w:rsidRPr="009B4874">
        <w:rPr>
          <w:rFonts w:ascii="AdvTTc9c3bd71" w:hAnsi="AdvTTc9c3bd71" w:cs="AdvTTc9c3bd71"/>
          <w:i/>
          <w:iCs/>
          <w:sz w:val="16"/>
          <w:szCs w:val="16"/>
          <w:lang w:val="en-US"/>
        </w:rPr>
        <w:t xml:space="preserve">[14] </w:t>
      </w:r>
      <w:r w:rsidRPr="009B4874">
        <w:rPr>
          <w:rFonts w:ascii="AdvTTc9c3bd71" w:hAnsi="AdvTTc9c3bd71" w:cs="AdvTTc9c3bd71"/>
          <w:b/>
          <w:bCs/>
          <w:i/>
          <w:iCs/>
          <w:sz w:val="16"/>
          <w:szCs w:val="16"/>
          <w:lang w:val="en-US"/>
        </w:rPr>
        <w:t xml:space="preserve">Vidal </w:t>
      </w:r>
      <w:r w:rsidRPr="009B4874">
        <w:rPr>
          <w:rFonts w:ascii="AdvTTc9c3bd71" w:hAnsi="AdvTTc9c3bd71" w:cs="AdvTTc9c3bd71"/>
          <w:i/>
          <w:iCs/>
          <w:sz w:val="16"/>
          <w:szCs w:val="16"/>
          <w:lang w:val="en-US"/>
        </w:rPr>
        <w:t>expert 2013.</w:t>
      </w:r>
    </w:p>
    <w:p w:rsidR="005852F0" w:rsidRPr="009B4874" w:rsidRDefault="005852F0" w:rsidP="005852F0">
      <w:pPr>
        <w:pStyle w:val="Default"/>
        <w:rPr>
          <w:rFonts w:asciiTheme="majorBidi" w:hAnsiTheme="majorBidi" w:cstheme="majorBidi"/>
          <w:i/>
          <w:iCs/>
          <w:color w:val="auto"/>
          <w:sz w:val="16"/>
          <w:szCs w:val="16"/>
          <w:lang w:val="en-US"/>
        </w:rPr>
      </w:pPr>
    </w:p>
    <w:p w:rsidR="005852F0" w:rsidRPr="009B4874" w:rsidRDefault="005852F0" w:rsidP="005852F0">
      <w:pPr>
        <w:pStyle w:val="Default"/>
        <w:rPr>
          <w:rFonts w:asciiTheme="majorBidi" w:hAnsiTheme="majorBidi" w:cstheme="majorBidi"/>
          <w:i/>
          <w:iCs/>
          <w:color w:val="auto"/>
          <w:sz w:val="16"/>
          <w:szCs w:val="16"/>
          <w:lang w:val="en-US"/>
        </w:rPr>
      </w:pPr>
      <w:r w:rsidRPr="009B4874">
        <w:rPr>
          <w:rFonts w:ascii="AdvTTc9c3bd71" w:hAnsi="AdvTTc9c3bd71" w:cs="AdvTTc9c3bd71"/>
          <w:i/>
          <w:iCs/>
          <w:sz w:val="16"/>
          <w:szCs w:val="16"/>
          <w:lang w:val="en-US"/>
        </w:rPr>
        <w:t xml:space="preserve">[15]  </w:t>
      </w:r>
      <w:r w:rsidRPr="009B4874">
        <w:rPr>
          <w:rFonts w:asciiTheme="majorBidi" w:hAnsiTheme="majorBidi" w:cstheme="majorBidi"/>
          <w:b/>
          <w:bCs/>
          <w:i/>
          <w:iCs/>
          <w:color w:val="auto"/>
          <w:sz w:val="16"/>
          <w:szCs w:val="16"/>
          <w:lang w:val="en-US"/>
        </w:rPr>
        <w:t>João Fernando</w:t>
      </w:r>
      <w:r w:rsidRPr="009B4874">
        <w:rPr>
          <w:rFonts w:asciiTheme="majorBidi" w:hAnsiTheme="majorBidi" w:cstheme="majorBidi"/>
          <w:i/>
          <w:iCs/>
          <w:color w:val="auto"/>
          <w:sz w:val="16"/>
          <w:szCs w:val="16"/>
          <w:lang w:val="en-US"/>
        </w:rPr>
        <w:t xml:space="preserve"> P. OLIVEIRA, José Paulo CIPULLO, Emmanuel A. BURDMANN3, Braz J Cardiovasc Surg, Nefrotoxicidade dos aminoglicosídeos Aminoglycoside nephrotoxicity, 2006; 21(4): 444-452 REVIEW ARTICLE </w:t>
      </w:r>
    </w:p>
    <w:p w:rsidR="005852F0" w:rsidRPr="009B4874" w:rsidRDefault="005852F0" w:rsidP="005852F0">
      <w:pPr>
        <w:spacing w:after="0" w:line="130" w:lineRule="atLeast"/>
        <w:textAlignment w:val="baseline"/>
        <w:rPr>
          <w:rFonts w:ascii="inherit" w:eastAsia="Times New Roman" w:hAnsi="inherit" w:cs="Arial"/>
          <w:color w:val="333333"/>
          <w:sz w:val="12"/>
          <w:lang w:eastAsia="fr-FR"/>
        </w:rPr>
      </w:pPr>
    </w:p>
    <w:p w:rsidR="005852F0" w:rsidRPr="009B4874" w:rsidRDefault="005852F0" w:rsidP="005852F0">
      <w:pPr>
        <w:spacing w:after="0" w:line="130" w:lineRule="atLeast"/>
        <w:textAlignment w:val="baseline"/>
        <w:rPr>
          <w:rFonts w:asciiTheme="majorBidi" w:hAnsiTheme="majorBidi" w:cstheme="majorBidi"/>
          <w:i/>
          <w:iCs/>
          <w:sz w:val="16"/>
          <w:szCs w:val="16"/>
        </w:rPr>
      </w:pPr>
      <w:r w:rsidRPr="009B4874">
        <w:rPr>
          <w:rFonts w:ascii="AdvTTc9c3bd71" w:hAnsi="AdvTTc9c3bd71" w:cs="AdvTTc9c3bd71"/>
          <w:i/>
          <w:iCs/>
          <w:sz w:val="16"/>
          <w:szCs w:val="16"/>
        </w:rPr>
        <w:t xml:space="preserve">[16]  </w:t>
      </w:r>
      <w:hyperlink r:id="rId5" w:history="1">
        <w:r w:rsidRPr="009B4874">
          <w:rPr>
            <w:rFonts w:asciiTheme="majorBidi" w:hAnsiTheme="majorBidi" w:cstheme="majorBidi"/>
            <w:b/>
            <w:bCs/>
            <w:i/>
            <w:iCs/>
            <w:sz w:val="16"/>
            <w:szCs w:val="16"/>
          </w:rPr>
          <w:t>Andrew Prayle</w:t>
        </w:r>
      </w:hyperlink>
      <w:hyperlink r:id="rId6" w:anchor="aff-1" w:history="1">
        <w:r w:rsidRPr="009B4874">
          <w:rPr>
            <w:rFonts w:asciiTheme="majorBidi" w:hAnsiTheme="majorBidi" w:cstheme="majorBidi"/>
            <w:i/>
            <w:iCs/>
            <w:sz w:val="16"/>
            <w:szCs w:val="16"/>
          </w:rPr>
          <w:t>1</w:t>
        </w:r>
      </w:hyperlink>
      <w:r w:rsidRPr="009B4874">
        <w:rPr>
          <w:rFonts w:asciiTheme="majorBidi" w:hAnsiTheme="majorBidi" w:cstheme="majorBidi"/>
          <w:i/>
          <w:iCs/>
          <w:sz w:val="16"/>
          <w:szCs w:val="16"/>
        </w:rPr>
        <w:t>, </w:t>
      </w:r>
      <w:hyperlink r:id="rId7" w:history="1">
        <w:r w:rsidRPr="009B4874">
          <w:rPr>
            <w:rFonts w:asciiTheme="majorBidi" w:hAnsiTheme="majorBidi" w:cstheme="majorBidi"/>
            <w:i/>
            <w:iCs/>
            <w:sz w:val="16"/>
            <w:szCs w:val="16"/>
          </w:rPr>
          <w:t>Alan Watson</w:t>
        </w:r>
      </w:hyperlink>
      <w:hyperlink r:id="rId8" w:anchor="aff-2" w:history="1">
        <w:r w:rsidRPr="009B4874">
          <w:rPr>
            <w:rFonts w:asciiTheme="majorBidi" w:hAnsiTheme="majorBidi" w:cstheme="majorBidi"/>
            <w:i/>
            <w:iCs/>
            <w:sz w:val="16"/>
            <w:szCs w:val="16"/>
          </w:rPr>
          <w:t>2</w:t>
        </w:r>
      </w:hyperlink>
      <w:r w:rsidRPr="009B4874">
        <w:rPr>
          <w:rFonts w:asciiTheme="majorBidi" w:hAnsiTheme="majorBidi" w:cstheme="majorBidi"/>
          <w:i/>
          <w:iCs/>
          <w:sz w:val="16"/>
          <w:szCs w:val="16"/>
        </w:rPr>
        <w:t>, </w:t>
      </w:r>
      <w:hyperlink r:id="rId9" w:history="1">
        <w:r w:rsidRPr="009B4874">
          <w:rPr>
            <w:rFonts w:asciiTheme="majorBidi" w:hAnsiTheme="majorBidi" w:cstheme="majorBidi"/>
            <w:i/>
            <w:iCs/>
            <w:sz w:val="16"/>
            <w:szCs w:val="16"/>
          </w:rPr>
          <w:t>Heather Fortnum</w:t>
        </w:r>
      </w:hyperlink>
      <w:hyperlink r:id="rId10" w:anchor="aff-3" w:history="1">
        <w:r w:rsidRPr="009B4874">
          <w:rPr>
            <w:rFonts w:asciiTheme="majorBidi" w:hAnsiTheme="majorBidi" w:cstheme="majorBidi"/>
            <w:i/>
            <w:iCs/>
            <w:sz w:val="16"/>
            <w:szCs w:val="16"/>
          </w:rPr>
          <w:t>3</w:t>
        </w:r>
      </w:hyperlink>
      <w:r w:rsidRPr="009B4874">
        <w:rPr>
          <w:rFonts w:asciiTheme="majorBidi" w:hAnsiTheme="majorBidi" w:cstheme="majorBidi"/>
          <w:i/>
          <w:iCs/>
          <w:sz w:val="16"/>
          <w:szCs w:val="16"/>
        </w:rPr>
        <w:t>, </w:t>
      </w:r>
      <w:hyperlink r:id="rId11" w:history="1">
        <w:r w:rsidRPr="009B4874">
          <w:rPr>
            <w:rFonts w:asciiTheme="majorBidi" w:hAnsiTheme="majorBidi" w:cstheme="majorBidi"/>
            <w:i/>
            <w:iCs/>
            <w:sz w:val="16"/>
            <w:szCs w:val="16"/>
          </w:rPr>
          <w:t>Alan Smyth</w:t>
        </w:r>
      </w:hyperlink>
      <w:hyperlink r:id="rId12" w:anchor="aff-1" w:history="1">
        <w:r w:rsidRPr="009B4874">
          <w:rPr>
            <w:rFonts w:asciiTheme="majorBidi" w:hAnsiTheme="majorBidi" w:cstheme="majorBidi"/>
            <w:i/>
            <w:iCs/>
            <w:sz w:val="16"/>
            <w:szCs w:val="16"/>
          </w:rPr>
          <w:t>1</w:t>
        </w:r>
      </w:hyperlink>
      <w:r w:rsidRPr="009B4874">
        <w:rPr>
          <w:rFonts w:asciiTheme="majorBidi" w:hAnsiTheme="majorBidi" w:cstheme="majorBidi"/>
          <w:i/>
          <w:iCs/>
          <w:sz w:val="16"/>
          <w:szCs w:val="16"/>
        </w:rPr>
        <w:t xml:space="preserve"> Side effects of aminoglycosides on the kidney, ear and balance in cystic fibrosis, Thorax 2010;65:654-658 doi:10.1136/thx.2009.131532</w:t>
      </w:r>
    </w:p>
    <w:p w:rsidR="005852F0" w:rsidRPr="009B4874" w:rsidRDefault="005852F0" w:rsidP="005852F0">
      <w:pPr>
        <w:spacing w:after="0" w:line="130" w:lineRule="atLeast"/>
        <w:textAlignment w:val="baseline"/>
        <w:rPr>
          <w:rFonts w:asciiTheme="majorBidi" w:hAnsiTheme="majorBidi" w:cstheme="majorBidi"/>
          <w:i/>
          <w:iCs/>
          <w:sz w:val="16"/>
          <w:szCs w:val="16"/>
        </w:rPr>
      </w:pPr>
    </w:p>
    <w:p w:rsidR="00BC77D6" w:rsidRPr="00564751" w:rsidRDefault="00BC77D6" w:rsidP="00B06B94">
      <w:pPr>
        <w:jc w:val="center"/>
        <w:rPr>
          <w:rFonts w:ascii="Times New Roman" w:hAnsi="Times New Roman" w:cs="Times New Roman"/>
        </w:rPr>
      </w:pPr>
    </w:p>
    <w:p w:rsidR="00193133" w:rsidRDefault="00193133" w:rsidP="00BC77D6">
      <w:pPr>
        <w:rPr>
          <w:rFonts w:ascii="Times New Roman" w:hAnsi="Times New Roman" w:cs="Times New Roman"/>
          <w:b/>
        </w:rPr>
      </w:pPr>
    </w:p>
    <w:sectPr w:rsidR="00193133"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HelveticaNeueLTStd-Roman">
    <w:altName w:val="MS Mincho"/>
    <w:panose1 w:val="00000000000000000000"/>
    <w:charset w:val="80"/>
    <w:family w:val="auto"/>
    <w:notTrueType/>
    <w:pitch w:val="default"/>
    <w:sig w:usb0="00000000" w:usb1="08070000" w:usb2="00000010" w:usb3="00000000" w:csb0="00020000" w:csb1="00000000"/>
  </w:font>
  <w:font w:name="AdvTTc9c3bd71">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B033C9"/>
    <w:multiLevelType w:val="hybridMultilevel"/>
    <w:tmpl w:val="6DBAE1E2"/>
    <w:lvl w:ilvl="0" w:tplc="D4B82B02">
      <w:start w:val="1"/>
      <w:numFmt w:val="decimal"/>
      <w:lvlText w:val="(%1)"/>
      <w:lvlJc w:val="left"/>
      <w:pPr>
        <w:ind w:left="644" w:hanging="360"/>
      </w:pPr>
      <w:rPr>
        <w:rFonts w:hint="default"/>
        <w:b w:val="0"/>
        <w:sz w:val="18"/>
        <w:szCs w:val="18"/>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B94"/>
    <w:rsid w:val="00193133"/>
    <w:rsid w:val="001C12B3"/>
    <w:rsid w:val="002A0F8F"/>
    <w:rsid w:val="004C2585"/>
    <w:rsid w:val="00564751"/>
    <w:rsid w:val="005852F0"/>
    <w:rsid w:val="005B090F"/>
    <w:rsid w:val="0061591B"/>
    <w:rsid w:val="006C056A"/>
    <w:rsid w:val="008F0D1A"/>
    <w:rsid w:val="00B012A1"/>
    <w:rsid w:val="00B06B94"/>
    <w:rsid w:val="00BC77D6"/>
    <w:rsid w:val="00D27BA6"/>
    <w:rsid w:val="00F82763"/>
    <w:rsid w:val="00FE7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AADBB"/>
  <w15:docId w15:val="{819DC793-DEE5-4FFE-8DC8-C55B688ED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ListParagraph">
    <w:name w:val="List Paragraph"/>
    <w:basedOn w:val="Normal"/>
    <w:uiPriority w:val="34"/>
    <w:qFormat/>
    <w:rsid w:val="005852F0"/>
    <w:pPr>
      <w:ind w:left="720"/>
      <w:contextualSpacing/>
    </w:pPr>
    <w:rPr>
      <w:lang w:val="fr-FR"/>
    </w:rPr>
  </w:style>
  <w:style w:type="paragraph" w:customStyle="1" w:styleId="Default">
    <w:name w:val="Default"/>
    <w:rsid w:val="005852F0"/>
    <w:pPr>
      <w:autoSpaceDE w:val="0"/>
      <w:autoSpaceDN w:val="0"/>
      <w:adjustRightInd w:val="0"/>
      <w:spacing w:after="0" w:line="240" w:lineRule="auto"/>
    </w:pPr>
    <w:rPr>
      <w:rFonts w:ascii="Frutiger 45 Light" w:hAnsi="Frutiger 45 Light" w:cs="Frutiger 45 Light"/>
      <w:color w:val="000000"/>
      <w:sz w:val="24"/>
      <w:szCs w:val="24"/>
      <w:lang w:val="fr-FR"/>
    </w:rPr>
  </w:style>
  <w:style w:type="paragraph" w:customStyle="1" w:styleId="Pa3">
    <w:name w:val="Pa3"/>
    <w:basedOn w:val="Default"/>
    <w:next w:val="Default"/>
    <w:uiPriority w:val="99"/>
    <w:rsid w:val="005852F0"/>
    <w:pPr>
      <w:spacing w:line="201" w:lineRule="atLeast"/>
    </w:pPr>
    <w:rPr>
      <w:rFonts w:cstheme="minorBidi"/>
      <w:color w:val="auto"/>
    </w:rPr>
  </w:style>
  <w:style w:type="character" w:customStyle="1" w:styleId="A4">
    <w:name w:val="A4"/>
    <w:uiPriority w:val="99"/>
    <w:rsid w:val="005852F0"/>
    <w:rPr>
      <w:rFonts w:cs="Frutiger 45 Light"/>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horax.bmj.com/content/65/7/654.lo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horax.bmj.com/search?author1=Alan+Watson&amp;sortspec=date&amp;submit=Submit" TargetMode="External"/><Relationship Id="rId12" Type="http://schemas.openxmlformats.org/officeDocument/2006/relationships/hyperlink" Target="http://thorax.bmj.com/content/65/7/654.lo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horax.bmj.com/content/65/7/654.long" TargetMode="External"/><Relationship Id="rId11" Type="http://schemas.openxmlformats.org/officeDocument/2006/relationships/hyperlink" Target="http://thorax.bmj.com/search?author1=Alan+Smyth&amp;sortspec=date&amp;submit=Submit" TargetMode="External"/><Relationship Id="rId5" Type="http://schemas.openxmlformats.org/officeDocument/2006/relationships/hyperlink" Target="http://thorax.bmj.com/search?author1=Andrew+Prayle&amp;sortspec=date&amp;submit=Submit" TargetMode="External"/><Relationship Id="rId10" Type="http://schemas.openxmlformats.org/officeDocument/2006/relationships/hyperlink" Target="http://thorax.bmj.com/content/65/7/654.long" TargetMode="External"/><Relationship Id="rId4" Type="http://schemas.openxmlformats.org/officeDocument/2006/relationships/webSettings" Target="webSettings.xml"/><Relationship Id="rId9" Type="http://schemas.openxmlformats.org/officeDocument/2006/relationships/hyperlink" Target="http://thorax.bmj.com/search?author1=Heather+Fortnum&amp;sortspec=date&amp;submit=Subm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782</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Houari Toumi</cp:lastModifiedBy>
  <cp:revision>27</cp:revision>
  <dcterms:created xsi:type="dcterms:W3CDTF">2016-03-30T05:02:00Z</dcterms:created>
  <dcterms:modified xsi:type="dcterms:W3CDTF">2018-01-08T10:18:00Z</dcterms:modified>
</cp:coreProperties>
</file>