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1E6A52" w14:textId="4DBAA605" w:rsidR="006E6C48" w:rsidRDefault="006E6C48" w:rsidP="004D6C52">
      <w:pPr>
        <w:pStyle w:val="Heading1"/>
        <w:spacing w:before="170"/>
        <w:ind w:left="0"/>
        <w:jc w:val="both"/>
        <w:rPr>
          <w:color w:val="337AB7"/>
        </w:rPr>
      </w:pPr>
      <w:bookmarkStart w:id="0" w:name="_GoBack"/>
      <w:bookmarkEnd w:id="0"/>
      <w:r>
        <w:rPr>
          <w:color w:val="337AB7"/>
        </w:rPr>
        <w:t xml:space="preserve">Microfluidic platform for </w:t>
      </w:r>
      <w:r w:rsidR="00B741C6">
        <w:rPr>
          <w:color w:val="337AB7"/>
        </w:rPr>
        <w:t xml:space="preserve">controlled and tunable </w:t>
      </w:r>
      <w:r w:rsidR="004E1EC6">
        <w:rPr>
          <w:color w:val="337AB7"/>
        </w:rPr>
        <w:t>production</w:t>
      </w:r>
      <w:r w:rsidR="002C1999">
        <w:rPr>
          <w:color w:val="337AB7"/>
        </w:rPr>
        <w:t xml:space="preserve"> of </w:t>
      </w:r>
      <w:r w:rsidR="00A355E6">
        <w:rPr>
          <w:color w:val="337AB7"/>
        </w:rPr>
        <w:t xml:space="preserve">bioactive </w:t>
      </w:r>
      <w:r>
        <w:rPr>
          <w:color w:val="337AB7"/>
        </w:rPr>
        <w:t>PLGA particle</w:t>
      </w:r>
      <w:r w:rsidR="002C1999">
        <w:rPr>
          <w:color w:val="337AB7"/>
        </w:rPr>
        <w:t>s</w:t>
      </w:r>
      <w:r>
        <w:rPr>
          <w:color w:val="337AB7"/>
        </w:rPr>
        <w:t xml:space="preserve"> </w:t>
      </w:r>
    </w:p>
    <w:p w14:paraId="2CE802D1" w14:textId="44F49372" w:rsidR="00493D3D" w:rsidRPr="00493D3D" w:rsidRDefault="0054751F" w:rsidP="0054751F">
      <w:pPr>
        <w:pStyle w:val="NormalWeb"/>
        <w:rPr>
          <w:rFonts w:ascii="Arial" w:hAnsi="Arial" w:cs="Arial"/>
          <w:sz w:val="18"/>
          <w:szCs w:val="18"/>
          <w:vertAlign w:val="superscript"/>
          <w:lang w:val="en-US"/>
        </w:rPr>
      </w:pPr>
      <w:r w:rsidRPr="00493D3D">
        <w:rPr>
          <w:rFonts w:ascii="Arial" w:hAnsi="Arial" w:cs="Arial"/>
          <w:sz w:val="18"/>
          <w:szCs w:val="18"/>
          <w:lang w:val="en-US"/>
        </w:rPr>
        <w:t>Maria Camilla Operti</w:t>
      </w:r>
      <w:r w:rsidR="00493D3D">
        <w:rPr>
          <w:rFonts w:ascii="Arial" w:hAnsi="Arial" w:cs="Arial"/>
          <w:sz w:val="18"/>
          <w:szCs w:val="18"/>
          <w:vertAlign w:val="superscript"/>
          <w:lang w:val="en-US"/>
        </w:rPr>
        <w:t>1</w:t>
      </w:r>
      <w:r w:rsidRPr="00493D3D">
        <w:rPr>
          <w:rFonts w:ascii="Arial" w:hAnsi="Arial" w:cs="Arial"/>
          <w:sz w:val="18"/>
          <w:szCs w:val="18"/>
          <w:lang w:val="en-US"/>
        </w:rPr>
        <w:t xml:space="preserve">, </w:t>
      </w:r>
      <w:r w:rsidR="00493D3D" w:rsidRPr="00493D3D">
        <w:rPr>
          <w:rFonts w:ascii="Arial" w:hAnsi="Arial" w:cs="Arial"/>
          <w:sz w:val="18"/>
          <w:szCs w:val="18"/>
          <w:lang w:val="en-US"/>
        </w:rPr>
        <w:t>Yusuf Dölen</w:t>
      </w:r>
      <w:r w:rsidR="00493D3D">
        <w:rPr>
          <w:rFonts w:ascii="Arial" w:hAnsi="Arial" w:cs="Arial"/>
          <w:sz w:val="18"/>
          <w:szCs w:val="18"/>
          <w:vertAlign w:val="superscript"/>
          <w:lang w:val="en-US"/>
        </w:rPr>
        <w:t>1,2</w:t>
      </w:r>
      <w:r w:rsidR="00493D3D" w:rsidRPr="00493D3D">
        <w:rPr>
          <w:rFonts w:ascii="Arial" w:hAnsi="Arial" w:cs="Arial"/>
          <w:sz w:val="18"/>
          <w:szCs w:val="18"/>
          <w:lang w:val="en-US"/>
        </w:rPr>
        <w:t xml:space="preserve">, </w:t>
      </w:r>
      <w:proofErr w:type="spellStart"/>
      <w:r w:rsidR="00493D3D" w:rsidRPr="00493D3D">
        <w:rPr>
          <w:rFonts w:ascii="Arial" w:hAnsi="Arial" w:cs="Arial"/>
          <w:sz w:val="18"/>
          <w:szCs w:val="18"/>
          <w:lang w:val="en-US"/>
        </w:rPr>
        <w:t>Jibbe</w:t>
      </w:r>
      <w:proofErr w:type="spellEnd"/>
      <w:r w:rsidR="00493D3D" w:rsidRPr="00493D3D">
        <w:rPr>
          <w:rFonts w:ascii="Arial" w:hAnsi="Arial" w:cs="Arial"/>
          <w:sz w:val="18"/>
          <w:szCs w:val="18"/>
          <w:lang w:val="en-US"/>
        </w:rPr>
        <w:t xml:space="preserve"> Keulen</w:t>
      </w:r>
      <w:r w:rsidR="00493D3D">
        <w:rPr>
          <w:rFonts w:ascii="Arial" w:hAnsi="Arial" w:cs="Arial"/>
          <w:sz w:val="18"/>
          <w:szCs w:val="18"/>
          <w:vertAlign w:val="superscript"/>
          <w:lang w:val="en-US"/>
        </w:rPr>
        <w:t>1</w:t>
      </w:r>
      <w:r w:rsidR="00493D3D" w:rsidRPr="00493D3D">
        <w:rPr>
          <w:rFonts w:ascii="Arial" w:hAnsi="Arial" w:cs="Arial"/>
          <w:sz w:val="18"/>
          <w:szCs w:val="18"/>
          <w:lang w:val="en-US"/>
        </w:rPr>
        <w:t xml:space="preserve">, Eric A. W. </w:t>
      </w:r>
      <w:r w:rsidR="008F6CDE">
        <w:rPr>
          <w:rFonts w:ascii="Arial" w:hAnsi="Arial" w:cs="Arial"/>
          <w:sz w:val="18"/>
          <w:szCs w:val="18"/>
          <w:lang w:val="en-US"/>
        </w:rPr>
        <w:t>v</w:t>
      </w:r>
      <w:r w:rsidR="008F6CDE" w:rsidRPr="00493D3D">
        <w:rPr>
          <w:rFonts w:ascii="Arial" w:hAnsi="Arial" w:cs="Arial"/>
          <w:sz w:val="18"/>
          <w:szCs w:val="18"/>
          <w:lang w:val="en-US"/>
        </w:rPr>
        <w:t xml:space="preserve">an </w:t>
      </w:r>
      <w:r w:rsidR="00493D3D" w:rsidRPr="00493D3D">
        <w:rPr>
          <w:rFonts w:ascii="Arial" w:hAnsi="Arial" w:cs="Arial"/>
          <w:sz w:val="18"/>
          <w:szCs w:val="18"/>
          <w:lang w:val="en-US"/>
        </w:rPr>
        <w:t>Dinther</w:t>
      </w:r>
      <w:r w:rsidR="00493D3D">
        <w:rPr>
          <w:rFonts w:ascii="Arial" w:hAnsi="Arial" w:cs="Arial"/>
          <w:sz w:val="18"/>
          <w:szCs w:val="18"/>
          <w:vertAlign w:val="superscript"/>
          <w:lang w:val="en-US"/>
        </w:rPr>
        <w:t>1,2</w:t>
      </w:r>
      <w:r w:rsidR="00493D3D" w:rsidRPr="00493D3D">
        <w:rPr>
          <w:rFonts w:ascii="Arial" w:hAnsi="Arial" w:cs="Arial"/>
          <w:sz w:val="18"/>
          <w:szCs w:val="18"/>
          <w:lang w:val="en-US"/>
        </w:rPr>
        <w:t>, Carl G. Figdor</w:t>
      </w:r>
      <w:r w:rsidR="00493D3D">
        <w:rPr>
          <w:rFonts w:ascii="Arial" w:hAnsi="Arial" w:cs="Arial"/>
          <w:sz w:val="18"/>
          <w:szCs w:val="18"/>
          <w:vertAlign w:val="superscript"/>
          <w:lang w:val="en-US"/>
        </w:rPr>
        <w:t>1,2</w:t>
      </w:r>
      <w:r w:rsidR="00493D3D" w:rsidRPr="00493D3D">
        <w:rPr>
          <w:rFonts w:ascii="Arial" w:hAnsi="Arial" w:cs="Arial"/>
          <w:sz w:val="18"/>
          <w:szCs w:val="18"/>
          <w:lang w:val="en-US"/>
        </w:rPr>
        <w:t xml:space="preserve"> and Oya Tagit</w:t>
      </w:r>
      <w:r w:rsidR="00493D3D">
        <w:rPr>
          <w:rFonts w:ascii="Arial" w:hAnsi="Arial" w:cs="Arial"/>
          <w:sz w:val="18"/>
          <w:szCs w:val="18"/>
          <w:vertAlign w:val="superscript"/>
          <w:lang w:val="en-US"/>
        </w:rPr>
        <w:t>1,2</w:t>
      </w:r>
    </w:p>
    <w:p w14:paraId="5BC0E191" w14:textId="75C949E3" w:rsidR="0054751F" w:rsidRDefault="00493D3D" w:rsidP="009916BA">
      <w:pPr>
        <w:pStyle w:val="NormalWeb"/>
        <w:spacing w:before="120" w:beforeAutospacing="0" w:after="0" w:afterAutospacing="0"/>
        <w:rPr>
          <w:rFonts w:ascii="Arial" w:hAnsi="Arial" w:cs="Arial"/>
          <w:sz w:val="18"/>
          <w:szCs w:val="18"/>
          <w:lang w:val="en-US"/>
        </w:rPr>
      </w:pPr>
      <w:r>
        <w:rPr>
          <w:rFonts w:ascii="Arial" w:hAnsi="Arial" w:cs="Arial"/>
          <w:sz w:val="18"/>
          <w:szCs w:val="18"/>
          <w:vertAlign w:val="superscript"/>
          <w:lang w:val="en-US"/>
        </w:rPr>
        <w:t xml:space="preserve">1 </w:t>
      </w:r>
      <w:r w:rsidR="0054751F" w:rsidRPr="0054751F">
        <w:rPr>
          <w:rFonts w:ascii="Arial" w:hAnsi="Arial" w:cs="Arial"/>
          <w:sz w:val="18"/>
          <w:szCs w:val="18"/>
          <w:lang w:val="en-US"/>
        </w:rPr>
        <w:t>Department of Tumor Immunology, Radboud Institute for Molecular Life Sciences, Radboud University Medical Center, 6500 HB</w:t>
      </w:r>
      <w:r w:rsidR="0000268A">
        <w:rPr>
          <w:rFonts w:ascii="Arial" w:hAnsi="Arial" w:cs="Arial"/>
          <w:sz w:val="18"/>
          <w:szCs w:val="18"/>
          <w:lang w:val="en-US"/>
        </w:rPr>
        <w:t xml:space="preserve"> </w:t>
      </w:r>
      <w:r w:rsidR="0054751F" w:rsidRPr="0054751F">
        <w:rPr>
          <w:rFonts w:ascii="Arial" w:hAnsi="Arial" w:cs="Arial"/>
          <w:sz w:val="18"/>
          <w:szCs w:val="18"/>
          <w:lang w:val="en-US"/>
        </w:rPr>
        <w:t xml:space="preserve">Nijmegen, The Netherlands </w:t>
      </w:r>
    </w:p>
    <w:p w14:paraId="119A691F" w14:textId="77777777" w:rsidR="00493D3D" w:rsidRPr="00493D3D" w:rsidRDefault="00493D3D" w:rsidP="009916BA">
      <w:pPr>
        <w:pStyle w:val="NormalWeb"/>
        <w:spacing w:before="120" w:beforeAutospacing="0" w:after="0" w:afterAutospacing="0"/>
        <w:rPr>
          <w:rFonts w:ascii="Arial" w:hAnsi="Arial" w:cs="Arial"/>
          <w:sz w:val="18"/>
          <w:szCs w:val="18"/>
          <w:lang w:val="en-US"/>
        </w:rPr>
      </w:pPr>
      <w:r>
        <w:rPr>
          <w:rFonts w:ascii="Arial" w:hAnsi="Arial" w:cs="Arial"/>
          <w:sz w:val="18"/>
          <w:szCs w:val="18"/>
          <w:vertAlign w:val="superscript"/>
          <w:lang w:val="en-US"/>
        </w:rPr>
        <w:t xml:space="preserve">2 </w:t>
      </w:r>
      <w:proofErr w:type="spellStart"/>
      <w:r>
        <w:rPr>
          <w:rFonts w:ascii="Arial" w:hAnsi="Arial" w:cs="Arial"/>
          <w:sz w:val="18"/>
          <w:szCs w:val="18"/>
          <w:lang w:val="en-US"/>
        </w:rPr>
        <w:t>Oncode</w:t>
      </w:r>
      <w:proofErr w:type="spellEnd"/>
      <w:r>
        <w:rPr>
          <w:rFonts w:ascii="Arial" w:hAnsi="Arial" w:cs="Arial"/>
          <w:sz w:val="18"/>
          <w:szCs w:val="18"/>
          <w:lang w:val="en-US"/>
        </w:rPr>
        <w:t xml:space="preserve"> Institute, 3553 Utrecht, The Netherlands</w:t>
      </w:r>
    </w:p>
    <w:p w14:paraId="5EC0F260" w14:textId="77777777" w:rsidR="00AE3E37" w:rsidRDefault="00AE3E37">
      <w:pPr>
        <w:rPr>
          <w:rFonts w:ascii="Arial"/>
          <w:sz w:val="21"/>
        </w:rPr>
      </w:pPr>
    </w:p>
    <w:p w14:paraId="6BBF7DE3" w14:textId="3600FB99" w:rsidR="00232C4D" w:rsidRDefault="00232C4D">
      <w:pPr>
        <w:rPr>
          <w:rFonts w:ascii="Arial"/>
          <w:sz w:val="21"/>
        </w:rPr>
        <w:sectPr w:rsidR="00232C4D">
          <w:headerReference w:type="default" r:id="rId8"/>
          <w:footerReference w:type="default" r:id="rId9"/>
          <w:type w:val="continuous"/>
          <w:pgSz w:w="11910" w:h="16840"/>
          <w:pgMar w:top="1740" w:right="600" w:bottom="840" w:left="620" w:header="541" w:footer="642" w:gutter="0"/>
          <w:cols w:space="720"/>
        </w:sectPr>
      </w:pPr>
    </w:p>
    <w:p w14:paraId="2C4D4D13" w14:textId="77777777" w:rsidR="00AE3E37" w:rsidRDefault="00A9710C">
      <w:pPr>
        <w:pStyle w:val="Heading3"/>
        <w:spacing w:before="147"/>
        <w:jc w:val="both"/>
      </w:pPr>
      <w:r>
        <w:rPr>
          <w:color w:val="BF5A14"/>
        </w:rPr>
        <w:t>Abstrac</w:t>
      </w:r>
      <w:r w:rsidR="00493D3D">
        <w:rPr>
          <w:color w:val="BF5A14"/>
        </w:rPr>
        <w:t>t</w:t>
      </w:r>
    </w:p>
    <w:p w14:paraId="2C92A30D" w14:textId="77777777" w:rsidR="00904C81" w:rsidRDefault="001A4DFF" w:rsidP="004D6C52">
      <w:pPr>
        <w:pStyle w:val="Heading3"/>
        <w:spacing w:before="74" w:line="276" w:lineRule="auto"/>
        <w:jc w:val="both"/>
        <w:rPr>
          <w:rFonts w:ascii="Tw Cen MT" w:eastAsia="Tw Cen MT" w:hAnsi="Tw Cen MT" w:cs="Tw Cen MT"/>
          <w:b w:val="0"/>
          <w:bCs w:val="0"/>
          <w:sz w:val="18"/>
          <w:szCs w:val="18"/>
        </w:rPr>
      </w:pPr>
      <w:r w:rsidRPr="001A4DFF">
        <w:rPr>
          <w:rFonts w:ascii="Tw Cen MT" w:eastAsia="Tw Cen MT" w:hAnsi="Tw Cen MT" w:cs="Tw Cen MT"/>
          <w:b w:val="0"/>
          <w:bCs w:val="0"/>
          <w:sz w:val="18"/>
          <w:szCs w:val="18"/>
        </w:rPr>
        <w:t xml:space="preserve">Polymeric particles made up of biodegradable and biocompatible polymers such as </w:t>
      </w:r>
      <w:proofErr w:type="gramStart"/>
      <w:r w:rsidRPr="001A4DFF">
        <w:rPr>
          <w:rFonts w:ascii="Tw Cen MT" w:eastAsia="Tw Cen MT" w:hAnsi="Tw Cen MT" w:cs="Tw Cen MT"/>
          <w:b w:val="0"/>
          <w:bCs w:val="0"/>
          <w:sz w:val="18"/>
          <w:szCs w:val="18"/>
        </w:rPr>
        <w:t>poly(</w:t>
      </w:r>
      <w:proofErr w:type="gramEnd"/>
      <w:r w:rsidRPr="001A4DFF">
        <w:rPr>
          <w:rFonts w:ascii="Tw Cen MT" w:eastAsia="Tw Cen MT" w:hAnsi="Tw Cen MT" w:cs="Tw Cen MT"/>
          <w:b w:val="0"/>
          <w:bCs w:val="0"/>
          <w:sz w:val="18"/>
          <w:szCs w:val="18"/>
        </w:rPr>
        <w:t>lactic-co-glycolic acid) (PLGA) containing active pharmaceutical ingredients (APIs) offer the advantages of improved stability, targeted delivery and controlled release of APIs in vivo</w:t>
      </w:r>
      <w:r>
        <w:rPr>
          <w:rFonts w:ascii="Tw Cen MT" w:eastAsia="Tw Cen MT" w:hAnsi="Tw Cen MT" w:cs="Tw Cen MT"/>
          <w:b w:val="0"/>
          <w:bCs w:val="0"/>
          <w:sz w:val="18"/>
          <w:szCs w:val="18"/>
        </w:rPr>
        <w:t>.</w:t>
      </w:r>
      <w:r w:rsidR="00904C81">
        <w:rPr>
          <w:rFonts w:ascii="Tw Cen MT" w:eastAsia="Tw Cen MT" w:hAnsi="Tw Cen MT" w:cs="Tw Cen MT"/>
          <w:b w:val="0"/>
          <w:bCs w:val="0"/>
          <w:sz w:val="18"/>
          <w:szCs w:val="18"/>
        </w:rPr>
        <w:t xml:space="preserve"> </w:t>
      </w:r>
      <w:r w:rsidRPr="001A4DFF">
        <w:rPr>
          <w:rFonts w:ascii="Tw Cen MT" w:eastAsia="Tw Cen MT" w:hAnsi="Tw Cen MT" w:cs="Tw Cen MT"/>
          <w:b w:val="0"/>
          <w:bCs w:val="0"/>
          <w:sz w:val="18"/>
          <w:szCs w:val="18"/>
        </w:rPr>
        <w:t>Particular emphasis is placed on the size and surface functionality of these systems as they are regarded as the main protagonists in dictating the particle behavior in vitro and in vivo. C</w:t>
      </w:r>
      <w:r>
        <w:rPr>
          <w:rFonts w:ascii="Tw Cen MT" w:eastAsia="Tw Cen MT" w:hAnsi="Tw Cen MT" w:cs="Tw Cen MT"/>
          <w:b w:val="0"/>
          <w:bCs w:val="0"/>
          <w:sz w:val="18"/>
          <w:szCs w:val="18"/>
        </w:rPr>
        <w:t>onventional</w:t>
      </w:r>
      <w:r w:rsidRPr="001A4DFF">
        <w:rPr>
          <w:rFonts w:ascii="Tw Cen MT" w:eastAsia="Tw Cen MT" w:hAnsi="Tw Cen MT" w:cs="Tw Cen MT"/>
          <w:b w:val="0"/>
          <w:bCs w:val="0"/>
          <w:sz w:val="18"/>
          <w:szCs w:val="18"/>
        </w:rPr>
        <w:t xml:space="preserve"> methods of manufacturing polymeric drug carriers offer a wide range of achievable particle </w:t>
      </w:r>
      <w:r w:rsidR="00904C81" w:rsidRPr="001A4DFF">
        <w:rPr>
          <w:rFonts w:ascii="Tw Cen MT" w:eastAsia="Tw Cen MT" w:hAnsi="Tw Cen MT" w:cs="Tw Cen MT"/>
          <w:b w:val="0"/>
          <w:bCs w:val="0"/>
          <w:sz w:val="18"/>
          <w:szCs w:val="18"/>
        </w:rPr>
        <w:t>size</w:t>
      </w:r>
      <w:r w:rsidR="00904C81">
        <w:rPr>
          <w:rFonts w:ascii="Tw Cen MT" w:eastAsia="Tw Cen MT" w:hAnsi="Tw Cen MT" w:cs="Tw Cen MT"/>
          <w:b w:val="0"/>
          <w:bCs w:val="0"/>
          <w:sz w:val="18"/>
          <w:szCs w:val="18"/>
        </w:rPr>
        <w:t>s;</w:t>
      </w:r>
      <w:r w:rsidRPr="001A4DFF">
        <w:rPr>
          <w:rFonts w:ascii="Tw Cen MT" w:eastAsia="Tw Cen MT" w:hAnsi="Tw Cen MT" w:cs="Tw Cen MT"/>
          <w:b w:val="0"/>
          <w:bCs w:val="0"/>
          <w:sz w:val="18"/>
          <w:szCs w:val="18"/>
        </w:rPr>
        <w:t xml:space="preserve"> however, </w:t>
      </w:r>
      <w:r>
        <w:rPr>
          <w:rFonts w:ascii="Tw Cen MT" w:eastAsia="Tw Cen MT" w:hAnsi="Tw Cen MT" w:cs="Tw Cen MT"/>
          <w:b w:val="0"/>
          <w:bCs w:val="0"/>
          <w:sz w:val="18"/>
          <w:szCs w:val="18"/>
        </w:rPr>
        <w:t xml:space="preserve">they </w:t>
      </w:r>
      <w:r w:rsidRPr="001A4DFF">
        <w:rPr>
          <w:rFonts w:ascii="Tw Cen MT" w:eastAsia="Tw Cen MT" w:hAnsi="Tw Cen MT" w:cs="Tw Cen MT"/>
          <w:b w:val="0"/>
          <w:bCs w:val="0"/>
          <w:sz w:val="18"/>
          <w:szCs w:val="18"/>
        </w:rPr>
        <w:t>lack the precision and full control over the particle size and uniformity,</w:t>
      </w:r>
      <w:r>
        <w:rPr>
          <w:rFonts w:ascii="Tw Cen MT" w:eastAsia="Tw Cen MT" w:hAnsi="Tw Cen MT" w:cs="Tw Cen MT"/>
          <w:b w:val="0"/>
          <w:bCs w:val="0"/>
          <w:sz w:val="18"/>
          <w:szCs w:val="18"/>
        </w:rPr>
        <w:t xml:space="preserve"> </w:t>
      </w:r>
      <w:r w:rsidRPr="001A4DFF">
        <w:rPr>
          <w:rFonts w:ascii="Tw Cen MT" w:eastAsia="Tw Cen MT" w:hAnsi="Tw Cen MT" w:cs="Tw Cen MT"/>
          <w:b w:val="0"/>
          <w:bCs w:val="0"/>
          <w:sz w:val="18"/>
          <w:szCs w:val="18"/>
        </w:rPr>
        <w:t>particularly for larger scale processes.</w:t>
      </w:r>
      <w:r w:rsidR="00904C81">
        <w:rPr>
          <w:rFonts w:ascii="Tw Cen MT" w:eastAsia="Tw Cen MT" w:hAnsi="Tw Cen MT" w:cs="Tw Cen MT"/>
          <w:b w:val="0"/>
          <w:bCs w:val="0"/>
          <w:sz w:val="18"/>
          <w:szCs w:val="18"/>
        </w:rPr>
        <w:t xml:space="preserve"> </w:t>
      </w:r>
      <w:r w:rsidRPr="001A4DFF">
        <w:rPr>
          <w:rFonts w:ascii="Tw Cen MT" w:eastAsia="Tw Cen MT" w:hAnsi="Tw Cen MT" w:cs="Tw Cen MT"/>
          <w:b w:val="0"/>
          <w:bCs w:val="0"/>
          <w:sz w:val="18"/>
          <w:szCs w:val="18"/>
        </w:rPr>
        <w:t xml:space="preserve">Microfluidics technology has emerged as an efficient tool to manufacture particles in a highly controllable manner. </w:t>
      </w:r>
    </w:p>
    <w:p w14:paraId="723CA9D8" w14:textId="680916F4" w:rsidR="002C1999" w:rsidRDefault="00904C81" w:rsidP="004D6C52">
      <w:pPr>
        <w:pStyle w:val="Heading3"/>
        <w:spacing w:before="74" w:line="276" w:lineRule="auto"/>
        <w:jc w:val="both"/>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In our study, </w:t>
      </w:r>
      <w:r w:rsidR="001A4DFF" w:rsidRPr="001A4DFF">
        <w:rPr>
          <w:rFonts w:ascii="Tw Cen MT" w:eastAsia="Tw Cen MT" w:hAnsi="Tw Cen MT" w:cs="Tw Cen MT"/>
          <w:b w:val="0"/>
          <w:bCs w:val="0"/>
          <w:sz w:val="18"/>
          <w:szCs w:val="18"/>
        </w:rPr>
        <w:t xml:space="preserve">we report on tuning the size of </w:t>
      </w:r>
      <w:r w:rsidR="00712296">
        <w:rPr>
          <w:rFonts w:ascii="Tw Cen MT" w:eastAsia="Tw Cen MT" w:hAnsi="Tw Cen MT" w:cs="Tw Cen MT"/>
          <w:b w:val="0"/>
          <w:bCs w:val="0"/>
          <w:sz w:val="18"/>
          <w:szCs w:val="18"/>
        </w:rPr>
        <w:t>pegy</w:t>
      </w:r>
      <w:r w:rsidRPr="00904C81">
        <w:rPr>
          <w:rFonts w:ascii="Tw Cen MT" w:eastAsia="Tw Cen MT" w:hAnsi="Tw Cen MT" w:cs="Tw Cen MT"/>
          <w:b w:val="0"/>
          <w:bCs w:val="0"/>
          <w:sz w:val="18"/>
          <w:szCs w:val="18"/>
        </w:rPr>
        <w:t xml:space="preserve">lated </w:t>
      </w:r>
      <w:r w:rsidR="001A4DFF" w:rsidRPr="001A4DFF">
        <w:rPr>
          <w:rFonts w:ascii="Tw Cen MT" w:eastAsia="Tw Cen MT" w:hAnsi="Tw Cen MT" w:cs="Tw Cen MT"/>
          <w:b w:val="0"/>
          <w:bCs w:val="0"/>
          <w:sz w:val="18"/>
          <w:szCs w:val="18"/>
        </w:rPr>
        <w:t>PLGA</w:t>
      </w:r>
      <w:r w:rsidR="00712296">
        <w:rPr>
          <w:rFonts w:ascii="Tw Cen MT" w:eastAsia="Tw Cen MT" w:hAnsi="Tw Cen MT" w:cs="Tw Cen MT"/>
          <w:b w:val="0"/>
          <w:bCs w:val="0"/>
          <w:sz w:val="18"/>
          <w:szCs w:val="18"/>
        </w:rPr>
        <w:t xml:space="preserve"> (PEG-PLGA)</w:t>
      </w:r>
      <w:r w:rsidR="001A4DFF" w:rsidRPr="001A4DFF">
        <w:rPr>
          <w:rFonts w:ascii="Tw Cen MT" w:eastAsia="Tw Cen MT" w:hAnsi="Tw Cen MT" w:cs="Tw Cen MT"/>
          <w:b w:val="0"/>
          <w:bCs w:val="0"/>
          <w:sz w:val="18"/>
          <w:szCs w:val="18"/>
        </w:rPr>
        <w:t xml:space="preserve"> particles at diameters ranging from sub-micron</w:t>
      </w:r>
      <w:r>
        <w:rPr>
          <w:rFonts w:ascii="Tw Cen MT" w:eastAsia="Tw Cen MT" w:hAnsi="Tw Cen MT" w:cs="Tw Cen MT"/>
          <w:b w:val="0"/>
          <w:bCs w:val="0"/>
          <w:sz w:val="18"/>
          <w:szCs w:val="18"/>
        </w:rPr>
        <w:t xml:space="preserve"> </w:t>
      </w:r>
      <w:r w:rsidRPr="00904C81">
        <w:rPr>
          <w:rFonts w:ascii="Tw Cen MT" w:eastAsia="Tw Cen MT" w:hAnsi="Tw Cen MT" w:cs="Tw Cen MT"/>
          <w:b w:val="0"/>
          <w:bCs w:val="0"/>
          <w:sz w:val="18"/>
          <w:szCs w:val="18"/>
        </w:rPr>
        <w:t>(~100 nm and ~200 nm</w:t>
      </w:r>
      <w:r>
        <w:rPr>
          <w:rFonts w:ascii="Tw Cen MT" w:eastAsia="Tw Cen MT" w:hAnsi="Tw Cen MT" w:cs="Tw Cen MT"/>
          <w:b w:val="0"/>
          <w:bCs w:val="0"/>
          <w:sz w:val="18"/>
          <w:szCs w:val="18"/>
        </w:rPr>
        <w:t>)</w:t>
      </w:r>
      <w:r w:rsidR="001A4DFF" w:rsidRPr="001A4DFF">
        <w:rPr>
          <w:rFonts w:ascii="Tw Cen MT" w:eastAsia="Tw Cen MT" w:hAnsi="Tw Cen MT" w:cs="Tw Cen MT"/>
          <w:b w:val="0"/>
          <w:bCs w:val="0"/>
          <w:sz w:val="18"/>
          <w:szCs w:val="18"/>
        </w:rPr>
        <w:t xml:space="preserve"> to microns </w:t>
      </w:r>
      <w:r>
        <w:rPr>
          <w:rFonts w:ascii="Tw Cen MT" w:eastAsia="Tw Cen MT" w:hAnsi="Tw Cen MT" w:cs="Tw Cen MT"/>
          <w:b w:val="0"/>
          <w:bCs w:val="0"/>
          <w:sz w:val="18"/>
          <w:szCs w:val="18"/>
        </w:rPr>
        <w:t xml:space="preserve">(&gt;1000 nm) </w:t>
      </w:r>
      <w:r w:rsidR="001A4DFF" w:rsidRPr="001A4DFF">
        <w:rPr>
          <w:rFonts w:ascii="Tw Cen MT" w:eastAsia="Tw Cen MT" w:hAnsi="Tw Cen MT" w:cs="Tw Cen MT"/>
          <w:b w:val="0"/>
          <w:bCs w:val="0"/>
          <w:sz w:val="18"/>
          <w:szCs w:val="18"/>
        </w:rPr>
        <w:t>using a single microfluidics device</w:t>
      </w:r>
      <w:r w:rsidR="00AC2DE9">
        <w:rPr>
          <w:rFonts w:ascii="Tw Cen MT" w:eastAsia="Tw Cen MT" w:hAnsi="Tw Cen MT" w:cs="Tw Cen MT"/>
          <w:b w:val="0"/>
          <w:bCs w:val="0"/>
          <w:sz w:val="18"/>
          <w:szCs w:val="18"/>
        </w:rPr>
        <w:t xml:space="preserve"> </w:t>
      </w:r>
      <w:r w:rsidR="00AC2DE9" w:rsidRPr="001A4DFF">
        <w:rPr>
          <w:rFonts w:ascii="Tw Cen MT" w:eastAsia="Tw Cen MT" w:hAnsi="Tw Cen MT" w:cs="Tw Cen MT"/>
          <w:b w:val="0"/>
          <w:bCs w:val="0"/>
          <w:sz w:val="18"/>
          <w:szCs w:val="18"/>
        </w:rPr>
        <w:t>through modification of flow and formulation parameters</w:t>
      </w:r>
      <w:r>
        <w:rPr>
          <w:rFonts w:ascii="Tw Cen MT" w:eastAsia="Tw Cen MT" w:hAnsi="Tw Cen MT" w:cs="Tw Cen MT"/>
          <w:b w:val="0"/>
          <w:bCs w:val="0"/>
          <w:sz w:val="18"/>
          <w:szCs w:val="18"/>
        </w:rPr>
        <w:t xml:space="preserve">. </w:t>
      </w:r>
      <w:r w:rsidRPr="00904C81">
        <w:rPr>
          <w:rFonts w:ascii="Tw Cen MT" w:eastAsia="Tw Cen MT" w:hAnsi="Tw Cen MT" w:cs="Tw Cen MT"/>
          <w:b w:val="0"/>
          <w:bCs w:val="0"/>
          <w:sz w:val="18"/>
          <w:szCs w:val="18"/>
        </w:rPr>
        <w:t xml:space="preserve">A fluorescent dye was used as a model drug to assess the </w:t>
      </w:r>
      <w:r>
        <w:rPr>
          <w:rFonts w:ascii="Tw Cen MT" w:eastAsia="Tw Cen MT" w:hAnsi="Tw Cen MT" w:cs="Tw Cen MT"/>
          <w:b w:val="0"/>
          <w:bCs w:val="0"/>
          <w:sz w:val="18"/>
          <w:szCs w:val="18"/>
        </w:rPr>
        <w:t xml:space="preserve">encapsulation efficacy, </w:t>
      </w:r>
      <w:r w:rsidR="00D758E5">
        <w:rPr>
          <w:rFonts w:ascii="Tw Cen MT" w:eastAsia="Tw Cen MT" w:hAnsi="Tw Cen MT" w:cs="Tw Cen MT"/>
          <w:b w:val="0"/>
          <w:bCs w:val="0"/>
          <w:sz w:val="18"/>
          <w:szCs w:val="18"/>
        </w:rPr>
        <w:t xml:space="preserve">in situ </w:t>
      </w:r>
      <w:r w:rsidR="00AC2DE9">
        <w:rPr>
          <w:rFonts w:ascii="Tw Cen MT" w:eastAsia="Tw Cen MT" w:hAnsi="Tw Cen MT" w:cs="Tw Cen MT"/>
          <w:b w:val="0"/>
          <w:bCs w:val="0"/>
          <w:sz w:val="18"/>
          <w:szCs w:val="18"/>
        </w:rPr>
        <w:t>release characteristics</w:t>
      </w:r>
      <w:r w:rsidRPr="00904C81">
        <w:rPr>
          <w:rFonts w:ascii="Tw Cen MT" w:eastAsia="Tw Cen MT" w:hAnsi="Tw Cen MT" w:cs="Tw Cen MT"/>
          <w:b w:val="0"/>
          <w:bCs w:val="0"/>
          <w:sz w:val="18"/>
          <w:szCs w:val="18"/>
        </w:rPr>
        <w:t xml:space="preserve">, </w:t>
      </w:r>
      <w:r w:rsidR="00D758E5">
        <w:rPr>
          <w:rFonts w:ascii="Tw Cen MT" w:eastAsia="Tw Cen MT" w:hAnsi="Tw Cen MT" w:cs="Tw Cen MT"/>
          <w:b w:val="0"/>
          <w:bCs w:val="0"/>
          <w:sz w:val="18"/>
          <w:szCs w:val="18"/>
        </w:rPr>
        <w:t>particle</w:t>
      </w:r>
      <w:r>
        <w:rPr>
          <w:rFonts w:ascii="Tw Cen MT" w:eastAsia="Tw Cen MT" w:hAnsi="Tw Cen MT" w:cs="Tw Cen MT"/>
          <w:b w:val="0"/>
          <w:bCs w:val="0"/>
          <w:sz w:val="18"/>
          <w:szCs w:val="18"/>
        </w:rPr>
        <w:t xml:space="preserve"> </w:t>
      </w:r>
      <w:r w:rsidRPr="00904C81">
        <w:rPr>
          <w:rFonts w:ascii="Tw Cen MT" w:eastAsia="Tw Cen MT" w:hAnsi="Tw Cen MT" w:cs="Tw Cen MT"/>
          <w:b w:val="0"/>
          <w:bCs w:val="0"/>
          <w:sz w:val="18"/>
          <w:szCs w:val="18"/>
        </w:rPr>
        <w:t>uptake by mouse-derived immune cells</w:t>
      </w:r>
      <w:r w:rsidR="00AC2DE9">
        <w:rPr>
          <w:rFonts w:ascii="Tw Cen MT" w:eastAsia="Tw Cen MT" w:hAnsi="Tw Cen MT" w:cs="Tw Cen MT"/>
          <w:b w:val="0"/>
          <w:bCs w:val="0"/>
          <w:sz w:val="18"/>
          <w:szCs w:val="18"/>
        </w:rPr>
        <w:t xml:space="preserve"> and</w:t>
      </w:r>
      <w:r w:rsidR="001A4DFF" w:rsidRPr="001A4DFF">
        <w:rPr>
          <w:rFonts w:ascii="Tw Cen MT" w:eastAsia="Tw Cen MT" w:hAnsi="Tw Cen MT" w:cs="Tw Cen MT"/>
          <w:b w:val="0"/>
          <w:bCs w:val="0"/>
          <w:sz w:val="18"/>
          <w:szCs w:val="18"/>
        </w:rPr>
        <w:t xml:space="preserve"> in vivo clearance</w:t>
      </w:r>
      <w:r w:rsidR="00AC2DE9">
        <w:rPr>
          <w:rFonts w:ascii="Tw Cen MT" w:eastAsia="Tw Cen MT" w:hAnsi="Tw Cen MT" w:cs="Tw Cen MT"/>
          <w:b w:val="0"/>
          <w:bCs w:val="0"/>
          <w:sz w:val="18"/>
          <w:szCs w:val="18"/>
        </w:rPr>
        <w:t xml:space="preserve">. </w:t>
      </w:r>
      <w:r w:rsidR="001A4DFF" w:rsidRPr="001A4DFF">
        <w:rPr>
          <w:rFonts w:ascii="Tw Cen MT" w:eastAsia="Tw Cen MT" w:hAnsi="Tw Cen MT" w:cs="Tw Cen MT"/>
          <w:b w:val="0"/>
          <w:bCs w:val="0"/>
          <w:sz w:val="18"/>
          <w:szCs w:val="18"/>
        </w:rPr>
        <w:t xml:space="preserve">Efficiency of particle uptake by dendritic cells and myeloid-derived suppressor cells isolated from mice is strongly correlated with particle size and is most efficient for ~100 nm particles. Particles systemically administered to mice mainly accumulate in liver and ~100 nm particles are cleared slower. </w:t>
      </w:r>
    </w:p>
    <w:p w14:paraId="4BC366C8" w14:textId="20504B3A" w:rsidR="002C1999" w:rsidRDefault="001A4DFF" w:rsidP="002F5469">
      <w:pPr>
        <w:pStyle w:val="Heading3"/>
        <w:spacing w:before="74" w:line="276" w:lineRule="auto"/>
        <w:jc w:val="both"/>
        <w:rPr>
          <w:rFonts w:ascii="Tw Cen MT" w:eastAsia="Tw Cen MT" w:hAnsi="Tw Cen MT" w:cs="Tw Cen MT"/>
          <w:b w:val="0"/>
          <w:bCs w:val="0"/>
          <w:sz w:val="18"/>
          <w:szCs w:val="18"/>
        </w:rPr>
      </w:pPr>
      <w:r w:rsidRPr="004D6C52">
        <w:rPr>
          <w:rFonts w:ascii="Tw Cen MT" w:eastAsia="Tw Cen MT" w:hAnsi="Tw Cen MT" w:cs="Tw Cen MT"/>
          <w:b w:val="0"/>
          <w:bCs w:val="0"/>
          <w:sz w:val="18"/>
          <w:szCs w:val="18"/>
        </w:rPr>
        <w:t xml:space="preserve">Our </w:t>
      </w:r>
      <w:r w:rsidR="00581B0B" w:rsidRPr="004D6C52">
        <w:rPr>
          <w:rFonts w:ascii="Tw Cen MT" w:eastAsia="Tw Cen MT" w:hAnsi="Tw Cen MT" w:cs="Tw Cen MT"/>
          <w:b w:val="0"/>
          <w:bCs w:val="0"/>
          <w:sz w:val="18"/>
          <w:szCs w:val="18"/>
        </w:rPr>
        <w:t>research</w:t>
      </w:r>
      <w:r w:rsidRPr="004D6C52">
        <w:rPr>
          <w:rFonts w:ascii="Tw Cen MT" w:eastAsia="Tw Cen MT" w:hAnsi="Tw Cen MT" w:cs="Tw Cen MT"/>
          <w:b w:val="0"/>
          <w:bCs w:val="0"/>
          <w:sz w:val="18"/>
          <w:szCs w:val="18"/>
        </w:rPr>
        <w:t xml:space="preserve"> shows </w:t>
      </w:r>
      <w:r w:rsidR="002C1999" w:rsidRPr="004D6C52">
        <w:rPr>
          <w:rFonts w:ascii="Tw Cen MT" w:eastAsia="Tw Cen MT" w:hAnsi="Tw Cen MT" w:cs="Tw Cen MT"/>
          <w:b w:val="0"/>
          <w:bCs w:val="0"/>
          <w:sz w:val="18"/>
          <w:szCs w:val="18"/>
        </w:rPr>
        <w:t>how PLGA particle size can be specifically tuned using a microfluidics system</w:t>
      </w:r>
      <w:r w:rsidR="002C1999" w:rsidRPr="002C1999">
        <w:rPr>
          <w:rFonts w:ascii="Tw Cen MT" w:eastAsia="Tw Cen MT" w:hAnsi="Tw Cen MT" w:cs="Tw Cen MT"/>
          <w:b w:val="0"/>
          <w:bCs w:val="0"/>
          <w:sz w:val="18"/>
          <w:szCs w:val="18"/>
        </w:rPr>
        <w:t xml:space="preserve"> obtain</w:t>
      </w:r>
      <w:r w:rsidR="002C1999">
        <w:rPr>
          <w:rFonts w:ascii="Tw Cen MT" w:eastAsia="Tw Cen MT" w:hAnsi="Tw Cen MT" w:cs="Tw Cen MT"/>
          <w:b w:val="0"/>
          <w:bCs w:val="0"/>
          <w:sz w:val="18"/>
          <w:szCs w:val="18"/>
        </w:rPr>
        <w:t>ing</w:t>
      </w:r>
      <w:r w:rsidR="002C1999" w:rsidRPr="002C1999">
        <w:rPr>
          <w:rFonts w:ascii="Tw Cen MT" w:eastAsia="Tw Cen MT" w:hAnsi="Tw Cen MT" w:cs="Tw Cen MT"/>
          <w:b w:val="0"/>
          <w:bCs w:val="0"/>
          <w:sz w:val="18"/>
          <w:szCs w:val="18"/>
        </w:rPr>
        <w:t xml:space="preserve"> PEGylated PLGA particles in di</w:t>
      </w:r>
      <w:r w:rsidR="002C1999">
        <w:rPr>
          <w:rFonts w:ascii="Tw Cen MT" w:eastAsia="Tw Cen MT" w:hAnsi="Tw Cen MT" w:cs="Tw Cen MT"/>
          <w:b w:val="0"/>
          <w:bCs w:val="0"/>
          <w:sz w:val="18"/>
          <w:szCs w:val="18"/>
        </w:rPr>
        <w:t>ff</w:t>
      </w:r>
      <w:r w:rsidR="002C1999" w:rsidRPr="002C1999">
        <w:rPr>
          <w:rFonts w:ascii="Tw Cen MT" w:eastAsia="Tw Cen MT" w:hAnsi="Tw Cen MT" w:cs="Tw Cen MT"/>
          <w:b w:val="0"/>
          <w:bCs w:val="0"/>
          <w:sz w:val="18"/>
          <w:szCs w:val="18"/>
        </w:rPr>
        <w:t>erent sizes</w:t>
      </w:r>
      <w:r w:rsidR="002C1999">
        <w:rPr>
          <w:rFonts w:ascii="Tw Cen MT" w:eastAsia="Tw Cen MT" w:hAnsi="Tw Cen MT" w:cs="Tw Cen MT"/>
          <w:b w:val="0"/>
          <w:bCs w:val="0"/>
          <w:sz w:val="18"/>
          <w:szCs w:val="18"/>
        </w:rPr>
        <w:t>.</w:t>
      </w:r>
      <w:r w:rsidR="002C1999" w:rsidRPr="002C1999">
        <w:rPr>
          <w:rFonts w:ascii="Tw Cen MT" w:eastAsia="Tw Cen MT" w:hAnsi="Tw Cen MT" w:cs="Tw Cen MT"/>
          <w:b w:val="0"/>
          <w:bCs w:val="0"/>
          <w:sz w:val="18"/>
          <w:szCs w:val="18"/>
        </w:rPr>
        <w:t xml:space="preserve"> </w:t>
      </w:r>
      <w:r w:rsidR="002F5469">
        <w:rPr>
          <w:rFonts w:ascii="Tw Cen MT" w:eastAsia="Tw Cen MT" w:hAnsi="Tw Cen MT" w:cs="Tw Cen MT"/>
          <w:b w:val="0"/>
          <w:bCs w:val="0"/>
          <w:sz w:val="18"/>
          <w:szCs w:val="18"/>
        </w:rPr>
        <w:t>T</w:t>
      </w:r>
      <w:r w:rsidR="002F5469" w:rsidRPr="001A4DFF">
        <w:rPr>
          <w:rFonts w:ascii="Tw Cen MT" w:eastAsia="Tw Cen MT" w:hAnsi="Tw Cen MT" w:cs="Tw Cen MT"/>
          <w:b w:val="0"/>
          <w:bCs w:val="0"/>
          <w:sz w:val="18"/>
          <w:szCs w:val="18"/>
        </w:rPr>
        <w:t>he direct relation between particle size and the pharmacokinetics behavior of particles</w:t>
      </w:r>
      <w:r w:rsidR="002F5469">
        <w:rPr>
          <w:rFonts w:ascii="Tw Cen MT" w:eastAsia="Tw Cen MT" w:hAnsi="Tw Cen MT" w:cs="Tw Cen MT"/>
          <w:b w:val="0"/>
          <w:bCs w:val="0"/>
          <w:sz w:val="18"/>
          <w:szCs w:val="18"/>
        </w:rPr>
        <w:t xml:space="preserve"> was </w:t>
      </w:r>
      <w:r w:rsidR="000622F7">
        <w:rPr>
          <w:rFonts w:ascii="Tw Cen MT" w:eastAsia="Tw Cen MT" w:hAnsi="Tw Cen MT" w:cs="Tw Cen MT"/>
          <w:b w:val="0"/>
          <w:bCs w:val="0"/>
          <w:sz w:val="18"/>
          <w:szCs w:val="18"/>
        </w:rPr>
        <w:t>confirmed</w:t>
      </w:r>
      <w:r w:rsidR="002F5469" w:rsidRPr="001A4DFF">
        <w:rPr>
          <w:rFonts w:ascii="Tw Cen MT" w:eastAsia="Tw Cen MT" w:hAnsi="Tw Cen MT" w:cs="Tw Cen MT"/>
          <w:b w:val="0"/>
          <w:bCs w:val="0"/>
          <w:sz w:val="18"/>
          <w:szCs w:val="18"/>
        </w:rPr>
        <w:t xml:space="preserve">, </w:t>
      </w:r>
      <w:r w:rsidR="002F5469">
        <w:rPr>
          <w:rFonts w:ascii="Tw Cen MT" w:eastAsia="Tw Cen MT" w:hAnsi="Tw Cen MT" w:cs="Tw Cen MT"/>
          <w:b w:val="0"/>
          <w:bCs w:val="0"/>
          <w:sz w:val="18"/>
          <w:szCs w:val="18"/>
        </w:rPr>
        <w:t>providing</w:t>
      </w:r>
      <w:r w:rsidR="002F5469" w:rsidRPr="001A4DFF">
        <w:rPr>
          <w:rFonts w:ascii="Tw Cen MT" w:eastAsia="Tw Cen MT" w:hAnsi="Tw Cen MT" w:cs="Tw Cen MT"/>
          <w:b w:val="0"/>
          <w:bCs w:val="0"/>
          <w:sz w:val="18"/>
          <w:szCs w:val="18"/>
        </w:rPr>
        <w:t xml:space="preserve"> a further step towards the establishment of a customizable production process to generate tailor-made nanomedicines.</w:t>
      </w:r>
      <w:r w:rsidR="00A926EB">
        <w:rPr>
          <w:rFonts w:ascii="Tw Cen MT" w:eastAsia="Tw Cen MT" w:hAnsi="Tw Cen MT" w:cs="Tw Cen MT"/>
          <w:b w:val="0"/>
          <w:bCs w:val="0"/>
          <w:sz w:val="18"/>
          <w:szCs w:val="18"/>
        </w:rPr>
        <w:t xml:space="preserve"> </w:t>
      </w:r>
    </w:p>
    <w:p w14:paraId="3AA9F001" w14:textId="77777777" w:rsidR="002C1999" w:rsidRDefault="002C1999" w:rsidP="002C1999">
      <w:pPr>
        <w:pStyle w:val="Heading3"/>
        <w:spacing w:before="74" w:line="276" w:lineRule="auto"/>
        <w:jc w:val="both"/>
        <w:rPr>
          <w:rFonts w:ascii="Tw Cen MT" w:eastAsia="Tw Cen MT" w:hAnsi="Tw Cen MT" w:cs="Tw Cen MT"/>
          <w:b w:val="0"/>
          <w:bCs w:val="0"/>
          <w:sz w:val="18"/>
          <w:szCs w:val="18"/>
        </w:rPr>
      </w:pPr>
    </w:p>
    <w:p w14:paraId="423CAECA" w14:textId="77777777" w:rsidR="00AE3E37" w:rsidRPr="001A4DFF" w:rsidRDefault="00A9710C" w:rsidP="00AC2DE9">
      <w:pPr>
        <w:pStyle w:val="Heading3"/>
        <w:spacing w:before="74"/>
        <w:ind w:left="0"/>
        <w:rPr>
          <w:rFonts w:ascii="Tw Cen MT" w:eastAsia="Tw Cen MT" w:hAnsi="Tw Cen MT" w:cs="Tw Cen MT"/>
          <w:b w:val="0"/>
          <w:bCs w:val="0"/>
          <w:sz w:val="18"/>
          <w:szCs w:val="18"/>
        </w:rPr>
      </w:pPr>
      <w:r>
        <w:rPr>
          <w:b w:val="0"/>
        </w:rPr>
        <w:br w:type="column"/>
      </w:r>
      <w:r>
        <w:rPr>
          <w:color w:val="BF5A14"/>
        </w:rPr>
        <w:t>Image</w:t>
      </w:r>
    </w:p>
    <w:p w14:paraId="2D0A6003" w14:textId="77777777" w:rsidR="00AC2DE9" w:rsidRDefault="00AC2DE9">
      <w:pPr>
        <w:pStyle w:val="BodyText"/>
        <w:spacing w:before="2"/>
        <w:rPr>
          <w:rFonts w:ascii="Arial"/>
          <w:b/>
          <w:sz w:val="16"/>
        </w:rPr>
      </w:pPr>
    </w:p>
    <w:p w14:paraId="02122AC3" w14:textId="51749504" w:rsidR="00D83764" w:rsidRDefault="00AC2DE9" w:rsidP="004D6C52">
      <w:pPr>
        <w:pStyle w:val="BodyText"/>
        <w:keepNext/>
        <w:spacing w:before="2"/>
        <w:jc w:val="both"/>
      </w:pPr>
      <w:r>
        <w:rPr>
          <w:rFonts w:ascii="Arial"/>
          <w:b/>
          <w:noProof/>
          <w:sz w:val="16"/>
        </w:rPr>
        <w:drawing>
          <wp:inline distT="0" distB="0" distL="0" distR="0" wp14:anchorId="0B3474A3" wp14:editId="2D917ADA">
            <wp:extent cx="3389806" cy="1661923"/>
            <wp:effectExtent l="0" t="0" r="127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icrofluidic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96542" cy="1665225"/>
                    </a:xfrm>
                    <a:prstGeom prst="rect">
                      <a:avLst/>
                    </a:prstGeom>
                  </pic:spPr>
                </pic:pic>
              </a:graphicData>
            </a:graphic>
          </wp:inline>
        </w:drawing>
      </w:r>
    </w:p>
    <w:p w14:paraId="0DFF1BE3" w14:textId="76DED896" w:rsidR="00AC2DE9" w:rsidRDefault="00D83764" w:rsidP="004D6C52">
      <w:pPr>
        <w:pStyle w:val="Caption"/>
        <w:jc w:val="both"/>
        <w:rPr>
          <w:rFonts w:ascii="Arial"/>
          <w:b/>
          <w:sz w:val="16"/>
        </w:rPr>
      </w:pPr>
      <w:r>
        <w:t xml:space="preserve">Figure </w:t>
      </w:r>
      <w:r w:rsidR="00154F50">
        <w:fldChar w:fldCharType="begin"/>
      </w:r>
      <w:r w:rsidR="00154F50">
        <w:instrText xml:space="preserve"> SEQ Figure \* ARABIC </w:instrText>
      </w:r>
      <w:r w:rsidR="00154F50">
        <w:fldChar w:fldCharType="separate"/>
      </w:r>
      <w:r w:rsidR="00154F50">
        <w:rPr>
          <w:noProof/>
        </w:rPr>
        <w:t>1</w:t>
      </w:r>
      <w:r w:rsidR="00154F50">
        <w:rPr>
          <w:noProof/>
        </w:rPr>
        <w:fldChar w:fldCharType="end"/>
      </w:r>
      <w:r>
        <w:t xml:space="preserve">: Schematic illustration of the </w:t>
      </w:r>
      <w:r w:rsidR="00AE48FE">
        <w:t xml:space="preserve">PEG-PLGA </w:t>
      </w:r>
      <w:r>
        <w:t>particle</w:t>
      </w:r>
      <w:r w:rsidR="00AE48FE">
        <w:t>s</w:t>
      </w:r>
      <w:r>
        <w:t xml:space="preserve"> generation</w:t>
      </w:r>
      <w:r w:rsidR="00AE48FE">
        <w:t xml:space="preserve"> process via microfluidic system and their biological evaluation</w:t>
      </w:r>
      <w:r>
        <w:t>.</w:t>
      </w:r>
    </w:p>
    <w:p w14:paraId="0EDD8AEB" w14:textId="77777777" w:rsidR="00AC2DE9" w:rsidRDefault="00AC2DE9">
      <w:pPr>
        <w:pStyle w:val="BodyText"/>
        <w:spacing w:before="2"/>
        <w:rPr>
          <w:rFonts w:ascii="Arial"/>
          <w:b/>
          <w:sz w:val="16"/>
        </w:rPr>
      </w:pPr>
    </w:p>
    <w:p w14:paraId="64270D5F" w14:textId="77777777" w:rsidR="005973B9" w:rsidRDefault="005973B9" w:rsidP="005973B9">
      <w:pPr>
        <w:spacing w:line="204" w:lineRule="exact"/>
        <w:rPr>
          <w:rFonts w:ascii="Arial"/>
          <w:b/>
          <w:sz w:val="20"/>
        </w:rPr>
      </w:pPr>
      <w:r>
        <w:rPr>
          <w:rFonts w:ascii="Arial"/>
          <w:b/>
          <w:color w:val="BF5A14"/>
          <w:sz w:val="20"/>
        </w:rPr>
        <w:t>Recent Publications</w:t>
      </w:r>
    </w:p>
    <w:p w14:paraId="4938D199" w14:textId="77777777" w:rsidR="00633D67" w:rsidRPr="002B704C" w:rsidRDefault="00633D67" w:rsidP="004D6C52">
      <w:pPr>
        <w:pStyle w:val="NormalWeb"/>
        <w:numPr>
          <w:ilvl w:val="0"/>
          <w:numId w:val="3"/>
        </w:numPr>
        <w:spacing w:before="120" w:beforeAutospacing="0"/>
        <w:ind w:left="380"/>
        <w:jc w:val="both"/>
        <w:rPr>
          <w:rFonts w:ascii="Calibri" w:hAnsi="Calibri" w:cs="Calibri"/>
          <w:color w:val="000000" w:themeColor="text1"/>
          <w:sz w:val="18"/>
          <w:szCs w:val="18"/>
          <w:lang w:val="en-US"/>
        </w:rPr>
      </w:pPr>
      <w:r w:rsidRPr="002B704C">
        <w:rPr>
          <w:rFonts w:ascii="Calibri" w:hAnsi="Calibri" w:cs="Calibri"/>
          <w:color w:val="000000" w:themeColor="text1"/>
          <w:sz w:val="18"/>
          <w:szCs w:val="18"/>
          <w:lang w:val="en-US"/>
        </w:rPr>
        <w:t>Khalid, M.; El-</w:t>
      </w:r>
      <w:proofErr w:type="spellStart"/>
      <w:r w:rsidRPr="002B704C">
        <w:rPr>
          <w:rFonts w:ascii="Calibri" w:hAnsi="Calibri" w:cs="Calibri"/>
          <w:color w:val="000000" w:themeColor="text1"/>
          <w:sz w:val="18"/>
          <w:szCs w:val="18"/>
          <w:lang w:val="en-US"/>
        </w:rPr>
        <w:t>Sawy</w:t>
      </w:r>
      <w:proofErr w:type="spellEnd"/>
      <w:r w:rsidRPr="002B704C">
        <w:rPr>
          <w:rFonts w:ascii="Calibri" w:hAnsi="Calibri" w:cs="Calibri"/>
          <w:color w:val="000000" w:themeColor="text1"/>
          <w:sz w:val="18"/>
          <w:szCs w:val="18"/>
          <w:lang w:val="en-US"/>
        </w:rPr>
        <w:t xml:space="preserve">, H.S. Polymeric nanoparticles: Promising platform for drug delivery. </w:t>
      </w:r>
      <w:r w:rsidRPr="002B704C">
        <w:rPr>
          <w:rFonts w:ascii="Calibri" w:hAnsi="Calibri" w:cs="Calibri"/>
          <w:iCs/>
          <w:color w:val="000000" w:themeColor="text1"/>
          <w:sz w:val="18"/>
          <w:szCs w:val="18"/>
          <w:lang w:val="en-US"/>
        </w:rPr>
        <w:t xml:space="preserve">Int. J. Pharm. </w:t>
      </w:r>
      <w:r w:rsidRPr="002B704C">
        <w:rPr>
          <w:rFonts w:ascii="Calibri" w:hAnsi="Calibri" w:cs="Calibri"/>
          <w:bCs/>
          <w:color w:val="000000" w:themeColor="text1"/>
          <w:sz w:val="18"/>
          <w:szCs w:val="18"/>
          <w:lang w:val="en-US"/>
        </w:rPr>
        <w:t>2017</w:t>
      </w:r>
      <w:r w:rsidRPr="002B704C">
        <w:rPr>
          <w:rFonts w:ascii="Calibri" w:hAnsi="Calibri" w:cs="Calibri"/>
          <w:color w:val="000000" w:themeColor="text1"/>
          <w:sz w:val="18"/>
          <w:szCs w:val="18"/>
          <w:lang w:val="en-US"/>
        </w:rPr>
        <w:t xml:space="preserve">, </w:t>
      </w:r>
      <w:r w:rsidRPr="002B704C">
        <w:rPr>
          <w:rFonts w:ascii="Calibri" w:hAnsi="Calibri" w:cs="Calibri"/>
          <w:iCs/>
          <w:color w:val="000000" w:themeColor="text1"/>
          <w:sz w:val="18"/>
          <w:szCs w:val="18"/>
          <w:lang w:val="en-US"/>
        </w:rPr>
        <w:t>528</w:t>
      </w:r>
      <w:r w:rsidRPr="002B704C">
        <w:rPr>
          <w:rFonts w:ascii="Calibri" w:hAnsi="Calibri" w:cs="Calibri"/>
          <w:color w:val="000000" w:themeColor="text1"/>
          <w:sz w:val="18"/>
          <w:szCs w:val="18"/>
          <w:lang w:val="en-US"/>
        </w:rPr>
        <w:t xml:space="preserve">, 675–691. </w:t>
      </w:r>
    </w:p>
    <w:p w14:paraId="23CDBD7D" w14:textId="77777777" w:rsidR="00633D67" w:rsidRPr="002B704C" w:rsidRDefault="00633D67" w:rsidP="004D6C52">
      <w:pPr>
        <w:widowControl/>
        <w:numPr>
          <w:ilvl w:val="0"/>
          <w:numId w:val="3"/>
        </w:numPr>
        <w:spacing w:before="120" w:after="100" w:afterAutospacing="1"/>
        <w:ind w:left="380"/>
        <w:jc w:val="both"/>
        <w:rPr>
          <w:rFonts w:ascii="Calibri" w:eastAsia="Times New Roman" w:hAnsi="Calibri" w:cs="Calibri"/>
          <w:color w:val="000000" w:themeColor="text1"/>
          <w:sz w:val="18"/>
          <w:szCs w:val="18"/>
          <w:lang w:val="it-IT" w:eastAsia="it-IT"/>
        </w:rPr>
      </w:pPr>
      <w:r w:rsidRPr="00633D67">
        <w:rPr>
          <w:rFonts w:ascii="Calibri" w:eastAsia="Times New Roman" w:hAnsi="Calibri" w:cs="Calibri"/>
          <w:color w:val="000000" w:themeColor="text1"/>
          <w:sz w:val="18"/>
          <w:szCs w:val="18"/>
          <w:lang w:eastAsia="it-IT"/>
        </w:rPr>
        <w:t xml:space="preserve">Toy, R.; Hayden, E.; </w:t>
      </w:r>
      <w:proofErr w:type="spellStart"/>
      <w:r w:rsidRPr="00633D67">
        <w:rPr>
          <w:rFonts w:ascii="Calibri" w:eastAsia="Times New Roman" w:hAnsi="Calibri" w:cs="Calibri"/>
          <w:color w:val="000000" w:themeColor="text1"/>
          <w:sz w:val="18"/>
          <w:szCs w:val="18"/>
          <w:lang w:eastAsia="it-IT"/>
        </w:rPr>
        <w:t>Shoup</w:t>
      </w:r>
      <w:proofErr w:type="spellEnd"/>
      <w:r w:rsidRPr="00633D67">
        <w:rPr>
          <w:rFonts w:ascii="Calibri" w:eastAsia="Times New Roman" w:hAnsi="Calibri" w:cs="Calibri"/>
          <w:color w:val="000000" w:themeColor="text1"/>
          <w:sz w:val="18"/>
          <w:szCs w:val="18"/>
          <w:lang w:eastAsia="it-IT"/>
        </w:rPr>
        <w:t xml:space="preserve">, C.; Baskaran, H.; </w:t>
      </w:r>
      <w:proofErr w:type="spellStart"/>
      <w:r w:rsidRPr="00633D67">
        <w:rPr>
          <w:rFonts w:ascii="Calibri" w:eastAsia="Times New Roman" w:hAnsi="Calibri" w:cs="Calibri"/>
          <w:color w:val="000000" w:themeColor="text1"/>
          <w:sz w:val="18"/>
          <w:szCs w:val="18"/>
          <w:lang w:eastAsia="it-IT"/>
        </w:rPr>
        <w:t>Karathanasis</w:t>
      </w:r>
      <w:proofErr w:type="spellEnd"/>
      <w:r w:rsidRPr="00633D67">
        <w:rPr>
          <w:rFonts w:ascii="Calibri" w:eastAsia="Times New Roman" w:hAnsi="Calibri" w:cs="Calibri"/>
          <w:color w:val="000000" w:themeColor="text1"/>
          <w:sz w:val="18"/>
          <w:szCs w:val="18"/>
          <w:lang w:eastAsia="it-IT"/>
        </w:rPr>
        <w:t xml:space="preserve">, E. The effects of particle size, density and shape on margination of nanoparticles in microcirculation. </w:t>
      </w:r>
      <w:r w:rsidRPr="00633D67">
        <w:rPr>
          <w:rFonts w:ascii="Calibri" w:eastAsia="Times New Roman" w:hAnsi="Calibri" w:cs="Calibri"/>
          <w:iCs/>
          <w:color w:val="000000" w:themeColor="text1"/>
          <w:sz w:val="18"/>
          <w:szCs w:val="18"/>
          <w:lang w:val="it-IT" w:eastAsia="it-IT"/>
        </w:rPr>
        <w:t xml:space="preserve">Nanotechnology </w:t>
      </w:r>
      <w:r w:rsidRPr="00633D67">
        <w:rPr>
          <w:rFonts w:ascii="Calibri" w:eastAsia="Times New Roman" w:hAnsi="Calibri" w:cs="Calibri"/>
          <w:bCs/>
          <w:color w:val="000000" w:themeColor="text1"/>
          <w:sz w:val="18"/>
          <w:szCs w:val="18"/>
          <w:lang w:val="it-IT" w:eastAsia="it-IT"/>
        </w:rPr>
        <w:t>2011</w:t>
      </w:r>
      <w:r w:rsidRPr="00633D67">
        <w:rPr>
          <w:rFonts w:ascii="Calibri" w:eastAsia="Times New Roman" w:hAnsi="Calibri" w:cs="Calibri"/>
          <w:color w:val="000000" w:themeColor="text1"/>
          <w:sz w:val="18"/>
          <w:szCs w:val="18"/>
          <w:lang w:val="it-IT" w:eastAsia="it-IT"/>
        </w:rPr>
        <w:t xml:space="preserve">, </w:t>
      </w:r>
      <w:r w:rsidRPr="00633D67">
        <w:rPr>
          <w:rFonts w:ascii="Calibri" w:eastAsia="Times New Roman" w:hAnsi="Calibri" w:cs="Calibri"/>
          <w:iCs/>
          <w:color w:val="000000" w:themeColor="text1"/>
          <w:sz w:val="18"/>
          <w:szCs w:val="18"/>
          <w:lang w:val="it-IT" w:eastAsia="it-IT"/>
        </w:rPr>
        <w:t>22</w:t>
      </w:r>
      <w:r w:rsidRPr="00633D67">
        <w:rPr>
          <w:rFonts w:ascii="Calibri" w:eastAsia="Times New Roman" w:hAnsi="Calibri" w:cs="Calibri"/>
          <w:color w:val="000000" w:themeColor="text1"/>
          <w:sz w:val="18"/>
          <w:szCs w:val="18"/>
          <w:lang w:val="it-IT" w:eastAsia="it-IT"/>
        </w:rPr>
        <w:t xml:space="preserve">, 115101. </w:t>
      </w:r>
    </w:p>
    <w:p w14:paraId="26EB3542" w14:textId="77777777" w:rsidR="006F0144" w:rsidRPr="002B704C" w:rsidRDefault="006F0144" w:rsidP="004D6C52">
      <w:pPr>
        <w:widowControl/>
        <w:numPr>
          <w:ilvl w:val="0"/>
          <w:numId w:val="3"/>
        </w:numPr>
        <w:spacing w:before="120" w:after="100" w:afterAutospacing="1"/>
        <w:ind w:left="380"/>
        <w:jc w:val="both"/>
        <w:rPr>
          <w:rFonts w:ascii="Calibri" w:eastAsia="Times New Roman" w:hAnsi="Calibri" w:cs="Calibri"/>
          <w:color w:val="000000" w:themeColor="text1"/>
          <w:sz w:val="18"/>
          <w:szCs w:val="18"/>
          <w:lang w:eastAsia="it-IT"/>
        </w:rPr>
      </w:pPr>
      <w:r w:rsidRPr="006F0144">
        <w:rPr>
          <w:rFonts w:ascii="Calibri" w:eastAsia="Times New Roman" w:hAnsi="Calibri" w:cs="Calibri"/>
          <w:color w:val="000000" w:themeColor="text1"/>
          <w:sz w:val="18"/>
          <w:szCs w:val="18"/>
          <w:lang w:eastAsia="it-IT"/>
        </w:rPr>
        <w:t xml:space="preserve">Suk, J.S.; Xu, Q.; Kim, N.; Hanes, J.; Ensign, L.M. PEGylation as a strategy for improving nanoparticle-based drug and gene delivery. </w:t>
      </w:r>
      <w:r w:rsidRPr="006F0144">
        <w:rPr>
          <w:rFonts w:ascii="Calibri" w:eastAsia="Times New Roman" w:hAnsi="Calibri" w:cs="Calibri"/>
          <w:iCs/>
          <w:color w:val="000000" w:themeColor="text1"/>
          <w:sz w:val="18"/>
          <w:szCs w:val="18"/>
          <w:lang w:eastAsia="it-IT"/>
        </w:rPr>
        <w:t xml:space="preserve">Adv. Drug </w:t>
      </w:r>
      <w:proofErr w:type="spellStart"/>
      <w:r w:rsidRPr="006F0144">
        <w:rPr>
          <w:rFonts w:ascii="Calibri" w:eastAsia="Times New Roman" w:hAnsi="Calibri" w:cs="Calibri"/>
          <w:iCs/>
          <w:color w:val="000000" w:themeColor="text1"/>
          <w:sz w:val="18"/>
          <w:szCs w:val="18"/>
          <w:lang w:eastAsia="it-IT"/>
        </w:rPr>
        <w:t>Deliv</w:t>
      </w:r>
      <w:proofErr w:type="spellEnd"/>
      <w:r w:rsidRPr="006F0144">
        <w:rPr>
          <w:rFonts w:ascii="Calibri" w:eastAsia="Times New Roman" w:hAnsi="Calibri" w:cs="Calibri"/>
          <w:iCs/>
          <w:color w:val="000000" w:themeColor="text1"/>
          <w:sz w:val="18"/>
          <w:szCs w:val="18"/>
          <w:lang w:eastAsia="it-IT"/>
        </w:rPr>
        <w:t xml:space="preserve">. </w:t>
      </w:r>
      <w:r w:rsidRPr="006F0144">
        <w:rPr>
          <w:rFonts w:ascii="Calibri" w:eastAsia="Times New Roman" w:hAnsi="Calibri" w:cs="Calibri"/>
          <w:iCs/>
          <w:color w:val="000000" w:themeColor="text1"/>
          <w:sz w:val="18"/>
          <w:szCs w:val="18"/>
          <w:lang w:val="it-IT" w:eastAsia="it-IT"/>
        </w:rPr>
        <w:t xml:space="preserve">Rev. </w:t>
      </w:r>
      <w:r w:rsidRPr="006F0144">
        <w:rPr>
          <w:rFonts w:ascii="Calibri" w:eastAsia="Times New Roman" w:hAnsi="Calibri" w:cs="Calibri"/>
          <w:bCs/>
          <w:color w:val="000000" w:themeColor="text1"/>
          <w:sz w:val="18"/>
          <w:szCs w:val="18"/>
          <w:lang w:val="it-IT" w:eastAsia="it-IT"/>
        </w:rPr>
        <w:t>2016</w:t>
      </w:r>
      <w:r w:rsidRPr="006F0144">
        <w:rPr>
          <w:rFonts w:ascii="Calibri" w:eastAsia="Times New Roman" w:hAnsi="Calibri" w:cs="Calibri"/>
          <w:color w:val="000000" w:themeColor="text1"/>
          <w:sz w:val="18"/>
          <w:szCs w:val="18"/>
          <w:lang w:val="it-IT" w:eastAsia="it-IT"/>
        </w:rPr>
        <w:t xml:space="preserve">, </w:t>
      </w:r>
      <w:r w:rsidRPr="006F0144">
        <w:rPr>
          <w:rFonts w:ascii="Calibri" w:eastAsia="Times New Roman" w:hAnsi="Calibri" w:cs="Calibri"/>
          <w:iCs/>
          <w:color w:val="000000" w:themeColor="text1"/>
          <w:sz w:val="18"/>
          <w:szCs w:val="18"/>
          <w:lang w:val="it-IT" w:eastAsia="it-IT"/>
        </w:rPr>
        <w:t>99</w:t>
      </w:r>
      <w:r w:rsidRPr="006F0144">
        <w:rPr>
          <w:rFonts w:ascii="Calibri" w:eastAsia="Times New Roman" w:hAnsi="Calibri" w:cs="Calibri"/>
          <w:color w:val="000000" w:themeColor="text1"/>
          <w:sz w:val="18"/>
          <w:szCs w:val="18"/>
          <w:lang w:val="it-IT" w:eastAsia="it-IT"/>
        </w:rPr>
        <w:t xml:space="preserve">, 28–51. </w:t>
      </w:r>
    </w:p>
    <w:p w14:paraId="2866FE71" w14:textId="77777777" w:rsidR="006F0144" w:rsidRPr="002B704C" w:rsidRDefault="00633D67" w:rsidP="004D6C52">
      <w:pPr>
        <w:pStyle w:val="NormalWeb"/>
        <w:numPr>
          <w:ilvl w:val="0"/>
          <w:numId w:val="3"/>
        </w:numPr>
        <w:spacing w:before="120" w:beforeAutospacing="0"/>
        <w:ind w:left="380"/>
        <w:jc w:val="both"/>
        <w:rPr>
          <w:rFonts w:ascii="Calibri" w:hAnsi="Calibri" w:cs="Calibri"/>
          <w:color w:val="000000" w:themeColor="text1"/>
          <w:sz w:val="18"/>
          <w:szCs w:val="18"/>
          <w:lang w:val="en-US"/>
        </w:rPr>
      </w:pPr>
      <w:r w:rsidRPr="002B704C">
        <w:rPr>
          <w:rFonts w:ascii="Calibri" w:hAnsi="Calibri" w:cs="Calibri"/>
          <w:color w:val="000000" w:themeColor="text1"/>
          <w:sz w:val="18"/>
          <w:szCs w:val="18"/>
          <w:lang w:val="en-US"/>
        </w:rPr>
        <w:t xml:space="preserve">Operti, M.C.; Fecher, D.; van </w:t>
      </w:r>
      <w:proofErr w:type="spellStart"/>
      <w:r w:rsidRPr="002B704C">
        <w:rPr>
          <w:rFonts w:ascii="Calibri" w:hAnsi="Calibri" w:cs="Calibri"/>
          <w:color w:val="000000" w:themeColor="text1"/>
          <w:sz w:val="18"/>
          <w:szCs w:val="18"/>
          <w:lang w:val="en-US"/>
        </w:rPr>
        <w:t>Dinther</w:t>
      </w:r>
      <w:proofErr w:type="spellEnd"/>
      <w:r w:rsidRPr="002B704C">
        <w:rPr>
          <w:rFonts w:ascii="Calibri" w:hAnsi="Calibri" w:cs="Calibri"/>
          <w:color w:val="000000" w:themeColor="text1"/>
          <w:sz w:val="18"/>
          <w:szCs w:val="18"/>
          <w:lang w:val="en-US"/>
        </w:rPr>
        <w:t xml:space="preserve">, E.A.; Grimm, S.; Jaber, R.; </w:t>
      </w:r>
      <w:proofErr w:type="spellStart"/>
      <w:r w:rsidRPr="002B704C">
        <w:rPr>
          <w:rFonts w:ascii="Calibri" w:hAnsi="Calibri" w:cs="Calibri"/>
          <w:color w:val="000000" w:themeColor="text1"/>
          <w:sz w:val="18"/>
          <w:szCs w:val="18"/>
          <w:lang w:val="en-US"/>
        </w:rPr>
        <w:t>Figdor</w:t>
      </w:r>
      <w:proofErr w:type="spellEnd"/>
      <w:r w:rsidRPr="002B704C">
        <w:rPr>
          <w:rFonts w:ascii="Calibri" w:hAnsi="Calibri" w:cs="Calibri"/>
          <w:color w:val="000000" w:themeColor="text1"/>
          <w:sz w:val="18"/>
          <w:szCs w:val="18"/>
          <w:lang w:val="en-US"/>
        </w:rPr>
        <w:t xml:space="preserve">, C.G.; </w:t>
      </w:r>
      <w:proofErr w:type="spellStart"/>
      <w:r w:rsidRPr="002B704C">
        <w:rPr>
          <w:rFonts w:ascii="Calibri" w:hAnsi="Calibri" w:cs="Calibri"/>
          <w:color w:val="000000" w:themeColor="text1"/>
          <w:sz w:val="18"/>
          <w:szCs w:val="18"/>
          <w:lang w:val="en-US"/>
        </w:rPr>
        <w:t>Tagit</w:t>
      </w:r>
      <w:proofErr w:type="spellEnd"/>
      <w:r w:rsidRPr="002B704C">
        <w:rPr>
          <w:rFonts w:ascii="Calibri" w:hAnsi="Calibri" w:cs="Calibri"/>
          <w:color w:val="000000" w:themeColor="text1"/>
          <w:sz w:val="18"/>
          <w:szCs w:val="18"/>
          <w:lang w:val="en-US"/>
        </w:rPr>
        <w:t xml:space="preserve">, O. A comparative assessment of continuous production techniques to generate sub-micron size PLGA particles. </w:t>
      </w:r>
      <w:r w:rsidRPr="002B704C">
        <w:rPr>
          <w:rFonts w:ascii="Calibri" w:hAnsi="Calibri" w:cs="Calibri"/>
          <w:iCs/>
          <w:color w:val="000000" w:themeColor="text1"/>
          <w:sz w:val="18"/>
          <w:szCs w:val="18"/>
          <w:lang w:val="en-US"/>
        </w:rPr>
        <w:t xml:space="preserve">Int. J. Pharm. </w:t>
      </w:r>
      <w:r w:rsidRPr="002B704C">
        <w:rPr>
          <w:rFonts w:ascii="Calibri" w:hAnsi="Calibri" w:cs="Calibri"/>
          <w:bCs/>
          <w:color w:val="000000" w:themeColor="text1"/>
          <w:sz w:val="18"/>
          <w:szCs w:val="18"/>
          <w:lang w:val="en-US"/>
        </w:rPr>
        <w:t>2018</w:t>
      </w:r>
      <w:r w:rsidRPr="002B704C">
        <w:rPr>
          <w:rFonts w:ascii="Calibri" w:hAnsi="Calibri" w:cs="Calibri"/>
          <w:color w:val="000000" w:themeColor="text1"/>
          <w:sz w:val="18"/>
          <w:szCs w:val="18"/>
          <w:lang w:val="en-US"/>
        </w:rPr>
        <w:t xml:space="preserve">, </w:t>
      </w:r>
      <w:r w:rsidRPr="002B704C">
        <w:rPr>
          <w:rFonts w:ascii="Calibri" w:hAnsi="Calibri" w:cs="Calibri"/>
          <w:iCs/>
          <w:color w:val="000000" w:themeColor="text1"/>
          <w:sz w:val="18"/>
          <w:szCs w:val="18"/>
          <w:lang w:val="en-US"/>
        </w:rPr>
        <w:t>550</w:t>
      </w:r>
      <w:r w:rsidRPr="002B704C">
        <w:rPr>
          <w:rFonts w:ascii="Calibri" w:hAnsi="Calibri" w:cs="Calibri"/>
          <w:color w:val="000000" w:themeColor="text1"/>
          <w:sz w:val="18"/>
          <w:szCs w:val="18"/>
          <w:lang w:val="en-US"/>
        </w:rPr>
        <w:t xml:space="preserve">, 140–148. </w:t>
      </w:r>
    </w:p>
    <w:p w14:paraId="123C0A3F" w14:textId="77777777" w:rsidR="00AE3E37" w:rsidRPr="002B704C" w:rsidRDefault="00047E23" w:rsidP="004D6C52">
      <w:pPr>
        <w:pStyle w:val="NormalWeb"/>
        <w:numPr>
          <w:ilvl w:val="0"/>
          <w:numId w:val="3"/>
        </w:numPr>
        <w:spacing w:before="120" w:beforeAutospacing="0"/>
        <w:ind w:left="380"/>
        <w:jc w:val="both"/>
        <w:rPr>
          <w:rFonts w:ascii="Calibri" w:hAnsi="Calibri" w:cs="Calibri"/>
          <w:color w:val="000000" w:themeColor="text1"/>
          <w:sz w:val="18"/>
          <w:szCs w:val="18"/>
          <w:lang w:val="en-US"/>
        </w:rPr>
        <w:sectPr w:rsidR="00AE3E37" w:rsidRPr="002B704C">
          <w:type w:val="continuous"/>
          <w:pgSz w:w="11910" w:h="16840"/>
          <w:pgMar w:top="1740" w:right="600" w:bottom="840" w:left="620" w:header="720" w:footer="720" w:gutter="0"/>
          <w:cols w:num="2" w:space="720" w:equalWidth="0">
            <w:col w:w="5214" w:space="138"/>
            <w:col w:w="5338"/>
          </w:cols>
        </w:sectPr>
      </w:pPr>
      <w:r w:rsidRPr="002B704C">
        <w:rPr>
          <w:rFonts w:ascii="Calibri" w:hAnsi="Calibri" w:cs="Calibri"/>
          <w:color w:val="000000" w:themeColor="text1"/>
          <w:sz w:val="18"/>
          <w:szCs w:val="18"/>
          <w:lang w:val="en-US"/>
        </w:rPr>
        <w:t xml:space="preserve">Operti, M.C.; </w:t>
      </w:r>
      <w:proofErr w:type="spellStart"/>
      <w:r w:rsidRPr="002B704C">
        <w:rPr>
          <w:rFonts w:ascii="Calibri" w:hAnsi="Calibri" w:cs="Calibri"/>
          <w:color w:val="000000" w:themeColor="text1"/>
          <w:sz w:val="18"/>
          <w:szCs w:val="18"/>
          <w:lang w:val="en-US"/>
        </w:rPr>
        <w:t>Dölen</w:t>
      </w:r>
      <w:proofErr w:type="spellEnd"/>
      <w:r w:rsidRPr="002B704C">
        <w:rPr>
          <w:rFonts w:ascii="Calibri" w:hAnsi="Calibri" w:cs="Calibri"/>
          <w:color w:val="000000" w:themeColor="text1"/>
          <w:sz w:val="18"/>
          <w:szCs w:val="18"/>
          <w:lang w:val="en-US"/>
        </w:rPr>
        <w:t xml:space="preserve">, Y.; </w:t>
      </w:r>
      <w:proofErr w:type="spellStart"/>
      <w:r w:rsidRPr="002B704C">
        <w:rPr>
          <w:rFonts w:ascii="Calibri" w:hAnsi="Calibri" w:cs="Calibri"/>
          <w:color w:val="000000" w:themeColor="text1"/>
          <w:sz w:val="18"/>
          <w:szCs w:val="18"/>
          <w:lang w:val="en-US"/>
        </w:rPr>
        <w:t>Keulen</w:t>
      </w:r>
      <w:proofErr w:type="spellEnd"/>
      <w:r w:rsidRPr="002B704C">
        <w:rPr>
          <w:rFonts w:ascii="Calibri" w:hAnsi="Calibri" w:cs="Calibri"/>
          <w:color w:val="000000" w:themeColor="text1"/>
          <w:sz w:val="18"/>
          <w:szCs w:val="18"/>
          <w:lang w:val="en-US"/>
        </w:rPr>
        <w:t xml:space="preserve">, J.; van </w:t>
      </w:r>
      <w:proofErr w:type="spellStart"/>
      <w:r w:rsidRPr="002B704C">
        <w:rPr>
          <w:rFonts w:ascii="Calibri" w:hAnsi="Calibri" w:cs="Calibri"/>
          <w:color w:val="000000" w:themeColor="text1"/>
          <w:sz w:val="18"/>
          <w:szCs w:val="18"/>
          <w:lang w:val="en-US"/>
        </w:rPr>
        <w:t>Dinther</w:t>
      </w:r>
      <w:proofErr w:type="spellEnd"/>
      <w:r w:rsidRPr="002B704C">
        <w:rPr>
          <w:rFonts w:ascii="Calibri" w:hAnsi="Calibri" w:cs="Calibri"/>
          <w:color w:val="000000" w:themeColor="text1"/>
          <w:sz w:val="18"/>
          <w:szCs w:val="18"/>
          <w:lang w:val="en-US"/>
        </w:rPr>
        <w:t xml:space="preserve">, E.A.W.; </w:t>
      </w:r>
      <w:proofErr w:type="spellStart"/>
      <w:r w:rsidRPr="002B704C">
        <w:rPr>
          <w:rFonts w:ascii="Calibri" w:hAnsi="Calibri" w:cs="Calibri"/>
          <w:color w:val="000000" w:themeColor="text1"/>
          <w:sz w:val="18"/>
          <w:szCs w:val="18"/>
          <w:lang w:val="en-US"/>
        </w:rPr>
        <w:t>Figdor</w:t>
      </w:r>
      <w:proofErr w:type="spellEnd"/>
      <w:r w:rsidRPr="002B704C">
        <w:rPr>
          <w:rFonts w:ascii="Calibri" w:hAnsi="Calibri" w:cs="Calibri"/>
          <w:color w:val="000000" w:themeColor="text1"/>
          <w:sz w:val="18"/>
          <w:szCs w:val="18"/>
          <w:lang w:val="en-US"/>
        </w:rPr>
        <w:t>, C.G.; Tagit, O. Microfluidic-assisted size tuning and biological evaluation of PLGA particles. Pharmaceutics 2019, 11, 590.</w:t>
      </w:r>
      <w:r w:rsidR="008756E6" w:rsidRPr="002B704C">
        <w:rPr>
          <w:rFonts w:ascii="Calibri" w:hAnsi="Calibri" w:cs="Calibri"/>
          <w:color w:val="000000" w:themeColor="text1"/>
        </w:rPr>
        <w:t xml:space="preserve">   </w:t>
      </w:r>
    </w:p>
    <w:p w14:paraId="2461DA85"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5908ECAB" w14:textId="5E260606"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CBB4607" wp14:editId="077A2FD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15E4E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D574A83" w14:textId="77777777" w:rsidR="004D6C52" w:rsidRDefault="008756E6" w:rsidP="00404E5B">
      <w:pPr>
        <w:spacing w:before="92"/>
        <w:ind w:right="4234"/>
        <w:rPr>
          <w:noProof/>
        </w:rPr>
        <w:sectPr w:rsidR="004D6C52" w:rsidSect="00CD6F55">
          <w:type w:val="continuous"/>
          <w:pgSz w:w="11910" w:h="16840"/>
          <w:pgMar w:top="1740" w:right="580" w:bottom="840" w:left="620" w:header="720" w:footer="720" w:gutter="0"/>
          <w:cols w:num="2" w:space="720" w:equalWidth="0">
            <w:col w:w="5214" w:space="138"/>
            <w:col w:w="5358"/>
          </w:cols>
        </w:sectPr>
      </w:pPr>
      <w:r>
        <w:rPr>
          <w:noProof/>
        </w:rPr>
        <w:t xml:space="preserve">              </w:t>
      </w:r>
    </w:p>
    <w:p w14:paraId="466C397B" w14:textId="5B134552" w:rsidR="00AE3E37" w:rsidRDefault="008D3F9A" w:rsidP="00232C4D">
      <w:pPr>
        <w:spacing w:before="92"/>
        <w:ind w:left="720" w:right="4234"/>
        <w:rPr>
          <w:rFonts w:ascii="Arial"/>
        </w:rPr>
      </w:pPr>
      <w:r>
        <w:rPr>
          <w:rFonts w:ascii="Arial"/>
          <w:noProof/>
          <w:color w:val="BF5A14"/>
        </w:rPr>
        <w:drawing>
          <wp:inline distT="0" distB="0" distL="0" distR="0" wp14:anchorId="75894462" wp14:editId="2E114D2D">
            <wp:extent cx="576072" cy="634208"/>
            <wp:effectExtent l="0" t="0" r="0" b="127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hermata 2020-01-11 alle 14.38.55.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2374" cy="652156"/>
                    </a:xfrm>
                    <a:prstGeom prst="rect">
                      <a:avLst/>
                    </a:prstGeom>
                  </pic:spPr>
                </pic:pic>
              </a:graphicData>
            </a:graphic>
          </wp:inline>
        </w:drawing>
      </w:r>
      <w:r>
        <w:rPr>
          <w:noProof/>
        </w:rPr>
        <w:t xml:space="preserve"> </w:t>
      </w:r>
      <w:r w:rsidR="00A9710C">
        <w:rPr>
          <w:rFonts w:ascii="Arial"/>
          <w:color w:val="BF5A14"/>
        </w:rPr>
        <w:t>Bio</w:t>
      </w:r>
      <w:r w:rsidR="004D6C52">
        <w:rPr>
          <w:rFonts w:ascii="Arial"/>
          <w:color w:val="BF5A14"/>
        </w:rPr>
        <w:t>g</w:t>
      </w:r>
      <w:r w:rsidR="00A9710C">
        <w:rPr>
          <w:rFonts w:ascii="Arial"/>
          <w:color w:val="BF5A14"/>
        </w:rPr>
        <w:t>raphy</w:t>
      </w:r>
      <w:r w:rsidR="00404E5B">
        <w:rPr>
          <w:rFonts w:ascii="Arial"/>
          <w:color w:val="BF5A14"/>
        </w:rPr>
        <w:t xml:space="preserve"> </w:t>
      </w:r>
    </w:p>
    <w:p w14:paraId="40E609F6" w14:textId="77777777" w:rsidR="002B704C" w:rsidRPr="00731913" w:rsidRDefault="002B704C" w:rsidP="00731913">
      <w:pPr>
        <w:spacing w:before="41" w:after="60" w:line="154" w:lineRule="exact"/>
        <w:ind w:left="216" w:right="230"/>
        <w:jc w:val="both"/>
        <w:rPr>
          <w:rFonts w:ascii="Arial" w:eastAsia="Times New Roman" w:hAnsi="Arial" w:cs="Arial"/>
          <w:color w:val="000000" w:themeColor="text1"/>
          <w:sz w:val="14"/>
          <w:szCs w:val="14"/>
          <w:shd w:val="clear" w:color="auto" w:fill="FFFFFF"/>
          <w:lang w:eastAsia="it-IT"/>
        </w:rPr>
      </w:pPr>
      <w:r w:rsidRPr="002B704C">
        <w:rPr>
          <w:rFonts w:ascii="Arial" w:eastAsia="Times New Roman" w:hAnsi="Arial" w:cs="Arial"/>
          <w:color w:val="000000" w:themeColor="text1"/>
          <w:sz w:val="14"/>
          <w:szCs w:val="14"/>
          <w:shd w:val="clear" w:color="auto" w:fill="FFFFFF"/>
          <w:lang w:eastAsia="it-IT"/>
        </w:rPr>
        <w:t xml:space="preserve">M. Camilla Operti is currently </w:t>
      </w:r>
      <w:r w:rsidR="00AE76CE" w:rsidRPr="00AE76CE">
        <w:rPr>
          <w:rFonts w:ascii="Arial" w:eastAsia="Times New Roman" w:hAnsi="Arial" w:cs="Arial"/>
          <w:color w:val="000000" w:themeColor="text1"/>
          <w:sz w:val="14"/>
          <w:szCs w:val="14"/>
          <w:shd w:val="clear" w:color="auto" w:fill="FFFFFF"/>
          <w:lang w:eastAsia="it-IT"/>
        </w:rPr>
        <w:t xml:space="preserve">is a PhD candidate at the Tumor Immunology department of the </w:t>
      </w:r>
      <w:proofErr w:type="spellStart"/>
      <w:r w:rsidR="00AE76CE" w:rsidRPr="00AE76CE">
        <w:rPr>
          <w:rFonts w:ascii="Arial" w:eastAsia="Times New Roman" w:hAnsi="Arial" w:cs="Arial"/>
          <w:color w:val="000000" w:themeColor="text1"/>
          <w:sz w:val="14"/>
          <w:szCs w:val="14"/>
          <w:shd w:val="clear" w:color="auto" w:fill="FFFFFF"/>
          <w:lang w:eastAsia="it-IT"/>
        </w:rPr>
        <w:t>Radboudumc</w:t>
      </w:r>
      <w:proofErr w:type="spellEnd"/>
      <w:r w:rsidR="00AE76CE" w:rsidRPr="00AE76CE">
        <w:rPr>
          <w:rFonts w:ascii="Arial" w:eastAsia="Times New Roman" w:hAnsi="Arial" w:cs="Arial"/>
          <w:color w:val="000000" w:themeColor="text1"/>
          <w:sz w:val="14"/>
          <w:szCs w:val="14"/>
          <w:shd w:val="clear" w:color="auto" w:fill="FFFFFF"/>
          <w:lang w:eastAsia="it-IT"/>
        </w:rPr>
        <w:t xml:space="preserve"> Institute of Molecular Life Sciences</w:t>
      </w:r>
      <w:r w:rsidR="00AE76CE">
        <w:rPr>
          <w:rFonts w:ascii="Arial" w:eastAsia="Times New Roman" w:hAnsi="Arial" w:cs="Arial"/>
          <w:color w:val="000000" w:themeColor="text1"/>
          <w:sz w:val="14"/>
          <w:szCs w:val="14"/>
          <w:shd w:val="clear" w:color="auto" w:fill="FFFFFF"/>
          <w:lang w:eastAsia="it-IT"/>
        </w:rPr>
        <w:t xml:space="preserve"> (The Netherlands), </w:t>
      </w:r>
      <w:r w:rsidRPr="002B704C">
        <w:rPr>
          <w:rFonts w:ascii="Arial" w:eastAsia="Times New Roman" w:hAnsi="Arial" w:cs="Arial"/>
          <w:color w:val="000000" w:themeColor="text1"/>
          <w:sz w:val="14"/>
          <w:szCs w:val="14"/>
          <w:shd w:val="clear" w:color="auto" w:fill="FFFFFF"/>
          <w:lang w:eastAsia="it-IT"/>
        </w:rPr>
        <w:t xml:space="preserve">focusing on </w:t>
      </w:r>
      <w:r w:rsidR="00AE76CE">
        <w:rPr>
          <w:rFonts w:ascii="Arial" w:eastAsia="Times New Roman" w:hAnsi="Arial" w:cs="Arial"/>
          <w:color w:val="000000" w:themeColor="text1"/>
          <w:sz w:val="14"/>
          <w:szCs w:val="14"/>
          <w:shd w:val="clear" w:color="auto" w:fill="FFFFFF"/>
          <w:lang w:eastAsia="it-IT"/>
        </w:rPr>
        <w:t>PLGA</w:t>
      </w:r>
      <w:r w:rsidRPr="002B704C">
        <w:rPr>
          <w:rFonts w:ascii="Arial" w:eastAsia="Times New Roman" w:hAnsi="Arial" w:cs="Arial"/>
          <w:color w:val="000000" w:themeColor="text1"/>
          <w:sz w:val="14"/>
          <w:szCs w:val="14"/>
          <w:shd w:val="clear" w:color="auto" w:fill="FFFFFF"/>
          <w:lang w:eastAsia="it-IT"/>
        </w:rPr>
        <w:t xml:space="preserve"> formulation development and the evaluation of new applications and technologies. She holds a master degree in Pharmaceutical Chemistry and Technologies from the University of Torino (Italy) and is a licensed pharmacist.</w:t>
      </w:r>
    </w:p>
    <w:p w14:paraId="5418F9E2" w14:textId="3DBBC6A8" w:rsidR="00AE3E37" w:rsidRPr="00731913" w:rsidRDefault="00A9710C" w:rsidP="00A00F4C">
      <w:pPr>
        <w:pStyle w:val="BodyText"/>
        <w:jc w:val="center"/>
        <w:rPr>
          <w:rFonts w:ascii="Arial"/>
          <w:sz w:val="14"/>
          <w:szCs w:val="14"/>
        </w:rPr>
      </w:pPr>
      <w:r w:rsidRPr="00A00F4C">
        <w:rPr>
          <w:rFonts w:ascii="Arial"/>
          <w:sz w:val="15"/>
        </w:rPr>
        <w:t xml:space="preserve">Email: </w:t>
      </w:r>
      <w:hyperlink r:id="rId12" w:history="1">
        <w:r w:rsidR="002B704C" w:rsidRPr="00731913">
          <w:rPr>
            <w:rStyle w:val="Hyperlink"/>
            <w:rFonts w:ascii="Arial"/>
            <w:sz w:val="14"/>
            <w:szCs w:val="14"/>
          </w:rPr>
          <w:t>mariacamilla.operti@radboudumc.nl</w:t>
        </w:r>
      </w:hyperlink>
    </w:p>
    <w:p w14:paraId="6297845B" w14:textId="77777777" w:rsidR="004D6C52" w:rsidRDefault="004D6C52">
      <w:pPr>
        <w:pStyle w:val="BodyText"/>
        <w:spacing w:before="2"/>
        <w:rPr>
          <w:rFonts w:ascii="Arial"/>
          <w:sz w:val="19"/>
        </w:rPr>
        <w:sectPr w:rsidR="004D6C52" w:rsidSect="004D6C52">
          <w:type w:val="continuous"/>
          <w:pgSz w:w="11910" w:h="16840"/>
          <w:pgMar w:top="1740" w:right="580" w:bottom="840" w:left="620" w:header="720" w:footer="720" w:gutter="0"/>
          <w:cols w:space="138"/>
        </w:sectPr>
      </w:pPr>
    </w:p>
    <w:p w14:paraId="5D3732EF" w14:textId="68D23065"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8CA8EA3" wp14:editId="3DCEF48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9586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9A9E0E1" w14:textId="77777777" w:rsidR="00AE3E37" w:rsidRDefault="00AE3E37">
      <w:pPr>
        <w:pStyle w:val="BodyText"/>
        <w:rPr>
          <w:rFonts w:ascii="Arial"/>
          <w:sz w:val="20"/>
        </w:rPr>
      </w:pPr>
    </w:p>
    <w:p w14:paraId="2E5843F9" w14:textId="11EF70D1" w:rsidR="00AE3E37" w:rsidRDefault="00A9710C" w:rsidP="00332648">
      <w:pPr>
        <w:spacing w:before="39"/>
        <w:jc w:val="both"/>
        <w:rPr>
          <w:rFonts w:ascii="Minion Pro"/>
          <w:sz w:val="26"/>
        </w:rPr>
      </w:pPr>
      <w:r w:rsidRPr="00B21A57">
        <w:rPr>
          <w:rFonts w:ascii="Minion Pro"/>
          <w:b/>
          <w:sz w:val="20"/>
        </w:rPr>
        <w:t>Notes/Comment</w:t>
      </w:r>
      <w:r w:rsidR="00A00F4C">
        <w:rPr>
          <w:rFonts w:ascii="Minion Pro"/>
          <w:b/>
          <w:sz w:val="20"/>
        </w:rPr>
        <w:t>s</w:t>
      </w:r>
      <w:r w:rsidR="00332648">
        <w:rPr>
          <w:rFonts w:ascii="Minion Pro"/>
          <w:b/>
          <w:sz w:val="20"/>
        </w:rPr>
        <w:t>:</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64A39" w14:textId="77777777" w:rsidR="002C1999" w:rsidRDefault="002C1999">
      <w:r>
        <w:separator/>
      </w:r>
    </w:p>
  </w:endnote>
  <w:endnote w:type="continuationSeparator" w:id="0">
    <w:p w14:paraId="3827D200" w14:textId="77777777" w:rsidR="002C1999" w:rsidRDefault="002C1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F17D1F" w14:textId="630A73E6" w:rsidR="002C1999" w:rsidRDefault="002C199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EE3ECE1" wp14:editId="3903573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BFFAA" w14:textId="77777777" w:rsidR="002C1999" w:rsidRPr="005B3A56" w:rsidRDefault="002C199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3C2666" w14:textId="77777777" w:rsidR="002C1999" w:rsidRPr="005B3A56" w:rsidRDefault="002C199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E3ECE1"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B6BFFAA" w14:textId="77777777" w:rsidR="002C1999" w:rsidRPr="005B3A56" w:rsidRDefault="002C199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3C2666" w14:textId="77777777" w:rsidR="002C1999" w:rsidRPr="005B3A56" w:rsidRDefault="002C199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036C7C1" wp14:editId="609A15F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DE632" w14:textId="77777777" w:rsidR="002C1999" w:rsidRPr="005B3A56" w:rsidRDefault="002C199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94BFB8" w14:textId="77777777" w:rsidR="002C1999" w:rsidRPr="005B3A56" w:rsidRDefault="002C199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6C7C1"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79DE632" w14:textId="77777777" w:rsidR="002C1999" w:rsidRPr="005B3A56" w:rsidRDefault="002C199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94BFB8" w14:textId="77777777" w:rsidR="002C1999" w:rsidRPr="005B3A56" w:rsidRDefault="002C199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54648" w14:textId="77777777" w:rsidR="002C1999" w:rsidRDefault="002C1999">
      <w:r>
        <w:separator/>
      </w:r>
    </w:p>
  </w:footnote>
  <w:footnote w:type="continuationSeparator" w:id="0">
    <w:p w14:paraId="19CCB4AE" w14:textId="77777777" w:rsidR="002C1999" w:rsidRDefault="002C1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90297" w14:textId="337322CA" w:rsidR="002C1999" w:rsidRDefault="002C199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229CE"/>
    <w:multiLevelType w:val="multilevel"/>
    <w:tmpl w:val="FC90C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537566"/>
    <w:multiLevelType w:val="multilevel"/>
    <w:tmpl w:val="3742475A"/>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C41753"/>
    <w:multiLevelType w:val="multilevel"/>
    <w:tmpl w:val="13ECBBAA"/>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5D001DBA"/>
    <w:multiLevelType w:val="multilevel"/>
    <w:tmpl w:val="59F47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autoHyphenation/>
  <w:hyphenationZone w:val="283"/>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0268A"/>
    <w:rsid w:val="00047E23"/>
    <w:rsid w:val="000622F7"/>
    <w:rsid w:val="00085301"/>
    <w:rsid w:val="000B4A1D"/>
    <w:rsid w:val="000E2911"/>
    <w:rsid w:val="001263DF"/>
    <w:rsid w:val="00154F50"/>
    <w:rsid w:val="001A4DFF"/>
    <w:rsid w:val="001E763C"/>
    <w:rsid w:val="00203A27"/>
    <w:rsid w:val="002228EF"/>
    <w:rsid w:val="00232C4D"/>
    <w:rsid w:val="00292ED9"/>
    <w:rsid w:val="002B704C"/>
    <w:rsid w:val="002C1999"/>
    <w:rsid w:val="002D1FB4"/>
    <w:rsid w:val="002F5469"/>
    <w:rsid w:val="00314AFB"/>
    <w:rsid w:val="00332648"/>
    <w:rsid w:val="003451A8"/>
    <w:rsid w:val="003B76D9"/>
    <w:rsid w:val="003C3BE7"/>
    <w:rsid w:val="00404E5B"/>
    <w:rsid w:val="00414F7B"/>
    <w:rsid w:val="004355DC"/>
    <w:rsid w:val="00462173"/>
    <w:rsid w:val="004749B4"/>
    <w:rsid w:val="00477408"/>
    <w:rsid w:val="00493D3D"/>
    <w:rsid w:val="00494130"/>
    <w:rsid w:val="004D6C52"/>
    <w:rsid w:val="004E1EC6"/>
    <w:rsid w:val="004F3523"/>
    <w:rsid w:val="00502215"/>
    <w:rsid w:val="0052231D"/>
    <w:rsid w:val="00544BA8"/>
    <w:rsid w:val="00546D03"/>
    <w:rsid w:val="0054751F"/>
    <w:rsid w:val="00581B0B"/>
    <w:rsid w:val="005973B9"/>
    <w:rsid w:val="005B3A56"/>
    <w:rsid w:val="006060CE"/>
    <w:rsid w:val="00633D67"/>
    <w:rsid w:val="0063497F"/>
    <w:rsid w:val="00653BA1"/>
    <w:rsid w:val="006A4EFD"/>
    <w:rsid w:val="006E6C48"/>
    <w:rsid w:val="006F0144"/>
    <w:rsid w:val="00712296"/>
    <w:rsid w:val="00731913"/>
    <w:rsid w:val="0078738A"/>
    <w:rsid w:val="007D7200"/>
    <w:rsid w:val="00873DF0"/>
    <w:rsid w:val="008756E6"/>
    <w:rsid w:val="008D3F9A"/>
    <w:rsid w:val="008F6CDE"/>
    <w:rsid w:val="00904C81"/>
    <w:rsid w:val="00926BC4"/>
    <w:rsid w:val="009916BA"/>
    <w:rsid w:val="009B2D44"/>
    <w:rsid w:val="009F2CBA"/>
    <w:rsid w:val="00A00F4C"/>
    <w:rsid w:val="00A07E82"/>
    <w:rsid w:val="00A20314"/>
    <w:rsid w:val="00A355E6"/>
    <w:rsid w:val="00A926EB"/>
    <w:rsid w:val="00A9710C"/>
    <w:rsid w:val="00AC2DE9"/>
    <w:rsid w:val="00AE3E37"/>
    <w:rsid w:val="00AE48FE"/>
    <w:rsid w:val="00AE76CE"/>
    <w:rsid w:val="00B21A57"/>
    <w:rsid w:val="00B741C6"/>
    <w:rsid w:val="00BD35C2"/>
    <w:rsid w:val="00C26FD4"/>
    <w:rsid w:val="00C33602"/>
    <w:rsid w:val="00CD6F55"/>
    <w:rsid w:val="00D01EA2"/>
    <w:rsid w:val="00D133D5"/>
    <w:rsid w:val="00D62425"/>
    <w:rsid w:val="00D758E5"/>
    <w:rsid w:val="00D83764"/>
    <w:rsid w:val="00DE3104"/>
    <w:rsid w:val="00E63CBF"/>
    <w:rsid w:val="00F3415F"/>
    <w:rsid w:val="00F35A6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F0096F4"/>
  <w15:docId w15:val="{0FA32B30-3247-4233-9D76-C70E7F5AF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AC2DE9"/>
    <w:pPr>
      <w:widowControl/>
      <w:spacing w:after="200"/>
    </w:pPr>
    <w:rPr>
      <w:rFonts w:asciiTheme="minorHAnsi" w:eastAsiaTheme="minorHAnsi" w:hAnsiTheme="minorHAnsi" w:cstheme="minorBidi"/>
      <w:i/>
      <w:iCs/>
      <w:color w:val="1F497D" w:themeColor="text2"/>
      <w:sz w:val="18"/>
      <w:szCs w:val="18"/>
    </w:rPr>
  </w:style>
  <w:style w:type="paragraph" w:styleId="NormalWeb">
    <w:name w:val="Normal (Web)"/>
    <w:basedOn w:val="Normal"/>
    <w:uiPriority w:val="99"/>
    <w:unhideWhenUsed/>
    <w:rsid w:val="0054751F"/>
    <w:pPr>
      <w:widowControl/>
      <w:spacing w:before="100" w:beforeAutospacing="1" w:after="100" w:afterAutospacing="1"/>
    </w:pPr>
    <w:rPr>
      <w:rFonts w:ascii="Times New Roman" w:eastAsia="Times New Roman" w:hAnsi="Times New Roman" w:cs="Times New Roman"/>
      <w:sz w:val="24"/>
      <w:szCs w:val="24"/>
      <w:lang w:val="it-IT" w:eastAsia="it-IT"/>
    </w:rPr>
  </w:style>
  <w:style w:type="character" w:customStyle="1" w:styleId="apple-converted-space">
    <w:name w:val="apple-converted-space"/>
    <w:basedOn w:val="DefaultParagraphFont"/>
    <w:rsid w:val="006F0144"/>
  </w:style>
  <w:style w:type="character" w:styleId="Emphasis">
    <w:name w:val="Emphasis"/>
    <w:basedOn w:val="DefaultParagraphFont"/>
    <w:uiPriority w:val="20"/>
    <w:qFormat/>
    <w:rsid w:val="006F0144"/>
    <w:rPr>
      <w:i/>
      <w:iCs/>
    </w:rPr>
  </w:style>
  <w:style w:type="character" w:styleId="FollowedHyperlink">
    <w:name w:val="FollowedHyperlink"/>
    <w:basedOn w:val="DefaultParagraphFont"/>
    <w:uiPriority w:val="99"/>
    <w:semiHidden/>
    <w:unhideWhenUsed/>
    <w:rsid w:val="002B704C"/>
    <w:rPr>
      <w:color w:val="800080" w:themeColor="followedHyperlink"/>
      <w:u w:val="single"/>
    </w:rPr>
  </w:style>
  <w:style w:type="character" w:styleId="CommentReference">
    <w:name w:val="annotation reference"/>
    <w:basedOn w:val="DefaultParagraphFont"/>
    <w:uiPriority w:val="99"/>
    <w:semiHidden/>
    <w:unhideWhenUsed/>
    <w:rsid w:val="008F6CDE"/>
    <w:rPr>
      <w:sz w:val="16"/>
      <w:szCs w:val="16"/>
    </w:rPr>
  </w:style>
  <w:style w:type="paragraph" w:styleId="CommentText">
    <w:name w:val="annotation text"/>
    <w:basedOn w:val="Normal"/>
    <w:link w:val="CommentTextChar"/>
    <w:uiPriority w:val="99"/>
    <w:semiHidden/>
    <w:unhideWhenUsed/>
    <w:rsid w:val="008F6CDE"/>
    <w:rPr>
      <w:sz w:val="20"/>
      <w:szCs w:val="20"/>
    </w:rPr>
  </w:style>
  <w:style w:type="character" w:customStyle="1" w:styleId="CommentTextChar">
    <w:name w:val="Comment Text Char"/>
    <w:basedOn w:val="DefaultParagraphFont"/>
    <w:link w:val="CommentText"/>
    <w:uiPriority w:val="99"/>
    <w:semiHidden/>
    <w:rsid w:val="008F6CDE"/>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8F6CDE"/>
    <w:rPr>
      <w:b/>
      <w:bCs/>
    </w:rPr>
  </w:style>
  <w:style w:type="character" w:customStyle="1" w:styleId="CommentSubjectChar">
    <w:name w:val="Comment Subject Char"/>
    <w:basedOn w:val="CommentTextChar"/>
    <w:link w:val="CommentSubject"/>
    <w:uiPriority w:val="99"/>
    <w:semiHidden/>
    <w:rsid w:val="008F6CDE"/>
    <w:rPr>
      <w:rFonts w:ascii="Tw Cen MT" w:eastAsia="Tw Cen MT" w:hAnsi="Tw Cen MT" w:cs="Tw Cen MT"/>
      <w:b/>
      <w:bCs/>
      <w:sz w:val="20"/>
      <w:szCs w:val="20"/>
    </w:rPr>
  </w:style>
  <w:style w:type="paragraph" w:styleId="Revision">
    <w:name w:val="Revision"/>
    <w:hidden/>
    <w:uiPriority w:val="99"/>
    <w:semiHidden/>
    <w:rsid w:val="0052231D"/>
    <w:pPr>
      <w:widowControl/>
    </w:pPr>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015098">
      <w:bodyDiv w:val="1"/>
      <w:marLeft w:val="0"/>
      <w:marRight w:val="0"/>
      <w:marTop w:val="0"/>
      <w:marBottom w:val="0"/>
      <w:divBdr>
        <w:top w:val="none" w:sz="0" w:space="0" w:color="auto"/>
        <w:left w:val="none" w:sz="0" w:space="0" w:color="auto"/>
        <w:bottom w:val="none" w:sz="0" w:space="0" w:color="auto"/>
        <w:right w:val="none" w:sz="0" w:space="0" w:color="auto"/>
      </w:divBdr>
      <w:divsChild>
        <w:div w:id="1149589624">
          <w:marLeft w:val="0"/>
          <w:marRight w:val="0"/>
          <w:marTop w:val="0"/>
          <w:marBottom w:val="0"/>
          <w:divBdr>
            <w:top w:val="none" w:sz="0" w:space="0" w:color="auto"/>
            <w:left w:val="none" w:sz="0" w:space="0" w:color="auto"/>
            <w:bottom w:val="none" w:sz="0" w:space="0" w:color="auto"/>
            <w:right w:val="none" w:sz="0" w:space="0" w:color="auto"/>
          </w:divBdr>
          <w:divsChild>
            <w:div w:id="491678142">
              <w:marLeft w:val="0"/>
              <w:marRight w:val="0"/>
              <w:marTop w:val="0"/>
              <w:marBottom w:val="0"/>
              <w:divBdr>
                <w:top w:val="none" w:sz="0" w:space="0" w:color="auto"/>
                <w:left w:val="none" w:sz="0" w:space="0" w:color="auto"/>
                <w:bottom w:val="none" w:sz="0" w:space="0" w:color="auto"/>
                <w:right w:val="none" w:sz="0" w:space="0" w:color="auto"/>
              </w:divBdr>
              <w:divsChild>
                <w:div w:id="161140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407742">
      <w:bodyDiv w:val="1"/>
      <w:marLeft w:val="0"/>
      <w:marRight w:val="0"/>
      <w:marTop w:val="0"/>
      <w:marBottom w:val="0"/>
      <w:divBdr>
        <w:top w:val="none" w:sz="0" w:space="0" w:color="auto"/>
        <w:left w:val="none" w:sz="0" w:space="0" w:color="auto"/>
        <w:bottom w:val="none" w:sz="0" w:space="0" w:color="auto"/>
        <w:right w:val="none" w:sz="0" w:space="0" w:color="auto"/>
      </w:divBdr>
      <w:divsChild>
        <w:div w:id="132867730">
          <w:marLeft w:val="0"/>
          <w:marRight w:val="0"/>
          <w:marTop w:val="0"/>
          <w:marBottom w:val="0"/>
          <w:divBdr>
            <w:top w:val="none" w:sz="0" w:space="0" w:color="auto"/>
            <w:left w:val="none" w:sz="0" w:space="0" w:color="auto"/>
            <w:bottom w:val="none" w:sz="0" w:space="0" w:color="auto"/>
            <w:right w:val="none" w:sz="0" w:space="0" w:color="auto"/>
          </w:divBdr>
          <w:divsChild>
            <w:div w:id="353700461">
              <w:marLeft w:val="0"/>
              <w:marRight w:val="0"/>
              <w:marTop w:val="0"/>
              <w:marBottom w:val="0"/>
              <w:divBdr>
                <w:top w:val="none" w:sz="0" w:space="0" w:color="auto"/>
                <w:left w:val="none" w:sz="0" w:space="0" w:color="auto"/>
                <w:bottom w:val="none" w:sz="0" w:space="0" w:color="auto"/>
                <w:right w:val="none" w:sz="0" w:space="0" w:color="auto"/>
              </w:divBdr>
              <w:divsChild>
                <w:div w:id="123169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408132">
      <w:bodyDiv w:val="1"/>
      <w:marLeft w:val="0"/>
      <w:marRight w:val="0"/>
      <w:marTop w:val="0"/>
      <w:marBottom w:val="0"/>
      <w:divBdr>
        <w:top w:val="none" w:sz="0" w:space="0" w:color="auto"/>
        <w:left w:val="none" w:sz="0" w:space="0" w:color="auto"/>
        <w:bottom w:val="none" w:sz="0" w:space="0" w:color="auto"/>
        <w:right w:val="none" w:sz="0" w:space="0" w:color="auto"/>
      </w:divBdr>
      <w:divsChild>
        <w:div w:id="1591159855">
          <w:marLeft w:val="0"/>
          <w:marRight w:val="0"/>
          <w:marTop w:val="0"/>
          <w:marBottom w:val="0"/>
          <w:divBdr>
            <w:top w:val="none" w:sz="0" w:space="0" w:color="auto"/>
            <w:left w:val="none" w:sz="0" w:space="0" w:color="auto"/>
            <w:bottom w:val="none" w:sz="0" w:space="0" w:color="auto"/>
            <w:right w:val="none" w:sz="0" w:space="0" w:color="auto"/>
          </w:divBdr>
          <w:divsChild>
            <w:div w:id="1660960004">
              <w:marLeft w:val="0"/>
              <w:marRight w:val="0"/>
              <w:marTop w:val="0"/>
              <w:marBottom w:val="0"/>
              <w:divBdr>
                <w:top w:val="none" w:sz="0" w:space="0" w:color="auto"/>
                <w:left w:val="none" w:sz="0" w:space="0" w:color="auto"/>
                <w:bottom w:val="none" w:sz="0" w:space="0" w:color="auto"/>
                <w:right w:val="none" w:sz="0" w:space="0" w:color="auto"/>
              </w:divBdr>
              <w:divsChild>
                <w:div w:id="23606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356307">
      <w:bodyDiv w:val="1"/>
      <w:marLeft w:val="0"/>
      <w:marRight w:val="0"/>
      <w:marTop w:val="0"/>
      <w:marBottom w:val="0"/>
      <w:divBdr>
        <w:top w:val="none" w:sz="0" w:space="0" w:color="auto"/>
        <w:left w:val="none" w:sz="0" w:space="0" w:color="auto"/>
        <w:bottom w:val="none" w:sz="0" w:space="0" w:color="auto"/>
        <w:right w:val="none" w:sz="0" w:space="0" w:color="auto"/>
      </w:divBdr>
      <w:divsChild>
        <w:div w:id="1893541237">
          <w:marLeft w:val="0"/>
          <w:marRight w:val="0"/>
          <w:marTop w:val="0"/>
          <w:marBottom w:val="0"/>
          <w:divBdr>
            <w:top w:val="none" w:sz="0" w:space="0" w:color="auto"/>
            <w:left w:val="none" w:sz="0" w:space="0" w:color="auto"/>
            <w:bottom w:val="none" w:sz="0" w:space="0" w:color="auto"/>
            <w:right w:val="none" w:sz="0" w:space="0" w:color="auto"/>
          </w:divBdr>
          <w:divsChild>
            <w:div w:id="1101412108">
              <w:marLeft w:val="0"/>
              <w:marRight w:val="0"/>
              <w:marTop w:val="0"/>
              <w:marBottom w:val="0"/>
              <w:divBdr>
                <w:top w:val="none" w:sz="0" w:space="0" w:color="auto"/>
                <w:left w:val="none" w:sz="0" w:space="0" w:color="auto"/>
                <w:bottom w:val="none" w:sz="0" w:space="0" w:color="auto"/>
                <w:right w:val="none" w:sz="0" w:space="0" w:color="auto"/>
              </w:divBdr>
              <w:divsChild>
                <w:div w:id="13992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611073">
      <w:bodyDiv w:val="1"/>
      <w:marLeft w:val="0"/>
      <w:marRight w:val="0"/>
      <w:marTop w:val="0"/>
      <w:marBottom w:val="0"/>
      <w:divBdr>
        <w:top w:val="none" w:sz="0" w:space="0" w:color="auto"/>
        <w:left w:val="none" w:sz="0" w:space="0" w:color="auto"/>
        <w:bottom w:val="none" w:sz="0" w:space="0" w:color="auto"/>
        <w:right w:val="none" w:sz="0" w:space="0" w:color="auto"/>
      </w:divBdr>
      <w:divsChild>
        <w:div w:id="2043826486">
          <w:marLeft w:val="0"/>
          <w:marRight w:val="0"/>
          <w:marTop w:val="0"/>
          <w:marBottom w:val="0"/>
          <w:divBdr>
            <w:top w:val="none" w:sz="0" w:space="0" w:color="auto"/>
            <w:left w:val="none" w:sz="0" w:space="0" w:color="auto"/>
            <w:bottom w:val="none" w:sz="0" w:space="0" w:color="auto"/>
            <w:right w:val="none" w:sz="0" w:space="0" w:color="auto"/>
          </w:divBdr>
          <w:divsChild>
            <w:div w:id="2010713532">
              <w:marLeft w:val="0"/>
              <w:marRight w:val="0"/>
              <w:marTop w:val="0"/>
              <w:marBottom w:val="0"/>
              <w:divBdr>
                <w:top w:val="none" w:sz="0" w:space="0" w:color="auto"/>
                <w:left w:val="none" w:sz="0" w:space="0" w:color="auto"/>
                <w:bottom w:val="none" w:sz="0" w:space="0" w:color="auto"/>
                <w:right w:val="none" w:sz="0" w:space="0" w:color="auto"/>
              </w:divBdr>
              <w:divsChild>
                <w:div w:id="6152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1566600">
      <w:bodyDiv w:val="1"/>
      <w:marLeft w:val="0"/>
      <w:marRight w:val="0"/>
      <w:marTop w:val="0"/>
      <w:marBottom w:val="0"/>
      <w:divBdr>
        <w:top w:val="none" w:sz="0" w:space="0" w:color="auto"/>
        <w:left w:val="none" w:sz="0" w:space="0" w:color="auto"/>
        <w:bottom w:val="none" w:sz="0" w:space="0" w:color="auto"/>
        <w:right w:val="none" w:sz="0" w:space="0" w:color="auto"/>
      </w:divBdr>
      <w:divsChild>
        <w:div w:id="238447611">
          <w:marLeft w:val="0"/>
          <w:marRight w:val="0"/>
          <w:marTop w:val="0"/>
          <w:marBottom w:val="0"/>
          <w:divBdr>
            <w:top w:val="none" w:sz="0" w:space="0" w:color="auto"/>
            <w:left w:val="none" w:sz="0" w:space="0" w:color="auto"/>
            <w:bottom w:val="none" w:sz="0" w:space="0" w:color="auto"/>
            <w:right w:val="none" w:sz="0" w:space="0" w:color="auto"/>
          </w:divBdr>
          <w:divsChild>
            <w:div w:id="1731882519">
              <w:marLeft w:val="0"/>
              <w:marRight w:val="0"/>
              <w:marTop w:val="0"/>
              <w:marBottom w:val="0"/>
              <w:divBdr>
                <w:top w:val="none" w:sz="0" w:space="0" w:color="auto"/>
                <w:left w:val="none" w:sz="0" w:space="0" w:color="auto"/>
                <w:bottom w:val="none" w:sz="0" w:space="0" w:color="auto"/>
                <w:right w:val="none" w:sz="0" w:space="0" w:color="auto"/>
              </w:divBdr>
              <w:divsChild>
                <w:div w:id="172421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300234">
      <w:bodyDiv w:val="1"/>
      <w:marLeft w:val="0"/>
      <w:marRight w:val="0"/>
      <w:marTop w:val="0"/>
      <w:marBottom w:val="0"/>
      <w:divBdr>
        <w:top w:val="none" w:sz="0" w:space="0" w:color="auto"/>
        <w:left w:val="none" w:sz="0" w:space="0" w:color="auto"/>
        <w:bottom w:val="none" w:sz="0" w:space="0" w:color="auto"/>
        <w:right w:val="none" w:sz="0" w:space="0" w:color="auto"/>
      </w:divBdr>
      <w:divsChild>
        <w:div w:id="1066494654">
          <w:marLeft w:val="0"/>
          <w:marRight w:val="0"/>
          <w:marTop w:val="0"/>
          <w:marBottom w:val="0"/>
          <w:divBdr>
            <w:top w:val="none" w:sz="0" w:space="0" w:color="auto"/>
            <w:left w:val="none" w:sz="0" w:space="0" w:color="auto"/>
            <w:bottom w:val="none" w:sz="0" w:space="0" w:color="auto"/>
            <w:right w:val="none" w:sz="0" w:space="0" w:color="auto"/>
          </w:divBdr>
          <w:divsChild>
            <w:div w:id="555051043">
              <w:marLeft w:val="0"/>
              <w:marRight w:val="0"/>
              <w:marTop w:val="0"/>
              <w:marBottom w:val="0"/>
              <w:divBdr>
                <w:top w:val="none" w:sz="0" w:space="0" w:color="auto"/>
                <w:left w:val="none" w:sz="0" w:space="0" w:color="auto"/>
                <w:bottom w:val="none" w:sz="0" w:space="0" w:color="auto"/>
                <w:right w:val="none" w:sz="0" w:space="0" w:color="auto"/>
              </w:divBdr>
              <w:divsChild>
                <w:div w:id="108791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560230">
      <w:bodyDiv w:val="1"/>
      <w:marLeft w:val="0"/>
      <w:marRight w:val="0"/>
      <w:marTop w:val="0"/>
      <w:marBottom w:val="0"/>
      <w:divBdr>
        <w:top w:val="none" w:sz="0" w:space="0" w:color="auto"/>
        <w:left w:val="none" w:sz="0" w:space="0" w:color="auto"/>
        <w:bottom w:val="none" w:sz="0" w:space="0" w:color="auto"/>
        <w:right w:val="none" w:sz="0" w:space="0" w:color="auto"/>
      </w:divBdr>
      <w:divsChild>
        <w:div w:id="503594837">
          <w:marLeft w:val="0"/>
          <w:marRight w:val="0"/>
          <w:marTop w:val="0"/>
          <w:marBottom w:val="0"/>
          <w:divBdr>
            <w:top w:val="none" w:sz="0" w:space="0" w:color="auto"/>
            <w:left w:val="none" w:sz="0" w:space="0" w:color="auto"/>
            <w:bottom w:val="none" w:sz="0" w:space="0" w:color="auto"/>
            <w:right w:val="none" w:sz="0" w:space="0" w:color="auto"/>
          </w:divBdr>
          <w:divsChild>
            <w:div w:id="2017267670">
              <w:marLeft w:val="0"/>
              <w:marRight w:val="0"/>
              <w:marTop w:val="0"/>
              <w:marBottom w:val="0"/>
              <w:divBdr>
                <w:top w:val="none" w:sz="0" w:space="0" w:color="auto"/>
                <w:left w:val="none" w:sz="0" w:space="0" w:color="auto"/>
                <w:bottom w:val="none" w:sz="0" w:space="0" w:color="auto"/>
                <w:right w:val="none" w:sz="0" w:space="0" w:color="auto"/>
              </w:divBdr>
              <w:divsChild>
                <w:div w:id="161166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607975">
      <w:bodyDiv w:val="1"/>
      <w:marLeft w:val="0"/>
      <w:marRight w:val="0"/>
      <w:marTop w:val="0"/>
      <w:marBottom w:val="0"/>
      <w:divBdr>
        <w:top w:val="none" w:sz="0" w:space="0" w:color="auto"/>
        <w:left w:val="none" w:sz="0" w:space="0" w:color="auto"/>
        <w:bottom w:val="none" w:sz="0" w:space="0" w:color="auto"/>
        <w:right w:val="none" w:sz="0" w:space="0" w:color="auto"/>
      </w:divBdr>
      <w:divsChild>
        <w:div w:id="1497456891">
          <w:marLeft w:val="0"/>
          <w:marRight w:val="0"/>
          <w:marTop w:val="0"/>
          <w:marBottom w:val="0"/>
          <w:divBdr>
            <w:top w:val="none" w:sz="0" w:space="0" w:color="auto"/>
            <w:left w:val="none" w:sz="0" w:space="0" w:color="auto"/>
            <w:bottom w:val="none" w:sz="0" w:space="0" w:color="auto"/>
            <w:right w:val="none" w:sz="0" w:space="0" w:color="auto"/>
          </w:divBdr>
          <w:divsChild>
            <w:div w:id="1340545715">
              <w:marLeft w:val="0"/>
              <w:marRight w:val="0"/>
              <w:marTop w:val="0"/>
              <w:marBottom w:val="0"/>
              <w:divBdr>
                <w:top w:val="none" w:sz="0" w:space="0" w:color="auto"/>
                <w:left w:val="none" w:sz="0" w:space="0" w:color="auto"/>
                <w:bottom w:val="none" w:sz="0" w:space="0" w:color="auto"/>
                <w:right w:val="none" w:sz="0" w:space="0" w:color="auto"/>
              </w:divBdr>
              <w:divsChild>
                <w:div w:id="67006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261549">
      <w:bodyDiv w:val="1"/>
      <w:marLeft w:val="0"/>
      <w:marRight w:val="0"/>
      <w:marTop w:val="0"/>
      <w:marBottom w:val="0"/>
      <w:divBdr>
        <w:top w:val="none" w:sz="0" w:space="0" w:color="auto"/>
        <w:left w:val="none" w:sz="0" w:space="0" w:color="auto"/>
        <w:bottom w:val="none" w:sz="0" w:space="0" w:color="auto"/>
        <w:right w:val="none" w:sz="0" w:space="0" w:color="auto"/>
      </w:divBdr>
    </w:div>
    <w:div w:id="1028870609">
      <w:bodyDiv w:val="1"/>
      <w:marLeft w:val="0"/>
      <w:marRight w:val="0"/>
      <w:marTop w:val="0"/>
      <w:marBottom w:val="0"/>
      <w:divBdr>
        <w:top w:val="none" w:sz="0" w:space="0" w:color="auto"/>
        <w:left w:val="none" w:sz="0" w:space="0" w:color="auto"/>
        <w:bottom w:val="none" w:sz="0" w:space="0" w:color="auto"/>
        <w:right w:val="none" w:sz="0" w:space="0" w:color="auto"/>
      </w:divBdr>
      <w:divsChild>
        <w:div w:id="888373058">
          <w:marLeft w:val="0"/>
          <w:marRight w:val="0"/>
          <w:marTop w:val="0"/>
          <w:marBottom w:val="0"/>
          <w:divBdr>
            <w:top w:val="none" w:sz="0" w:space="0" w:color="auto"/>
            <w:left w:val="none" w:sz="0" w:space="0" w:color="auto"/>
            <w:bottom w:val="none" w:sz="0" w:space="0" w:color="auto"/>
            <w:right w:val="none" w:sz="0" w:space="0" w:color="auto"/>
          </w:divBdr>
          <w:divsChild>
            <w:div w:id="2024936537">
              <w:marLeft w:val="0"/>
              <w:marRight w:val="0"/>
              <w:marTop w:val="0"/>
              <w:marBottom w:val="0"/>
              <w:divBdr>
                <w:top w:val="none" w:sz="0" w:space="0" w:color="auto"/>
                <w:left w:val="none" w:sz="0" w:space="0" w:color="auto"/>
                <w:bottom w:val="none" w:sz="0" w:space="0" w:color="auto"/>
                <w:right w:val="none" w:sz="0" w:space="0" w:color="auto"/>
              </w:divBdr>
              <w:divsChild>
                <w:div w:id="62982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5778">
      <w:bodyDiv w:val="1"/>
      <w:marLeft w:val="0"/>
      <w:marRight w:val="0"/>
      <w:marTop w:val="0"/>
      <w:marBottom w:val="0"/>
      <w:divBdr>
        <w:top w:val="none" w:sz="0" w:space="0" w:color="auto"/>
        <w:left w:val="none" w:sz="0" w:space="0" w:color="auto"/>
        <w:bottom w:val="none" w:sz="0" w:space="0" w:color="auto"/>
        <w:right w:val="none" w:sz="0" w:space="0" w:color="auto"/>
      </w:divBdr>
    </w:div>
    <w:div w:id="1233003163">
      <w:bodyDiv w:val="1"/>
      <w:marLeft w:val="0"/>
      <w:marRight w:val="0"/>
      <w:marTop w:val="0"/>
      <w:marBottom w:val="0"/>
      <w:divBdr>
        <w:top w:val="none" w:sz="0" w:space="0" w:color="auto"/>
        <w:left w:val="none" w:sz="0" w:space="0" w:color="auto"/>
        <w:bottom w:val="none" w:sz="0" w:space="0" w:color="auto"/>
        <w:right w:val="none" w:sz="0" w:space="0" w:color="auto"/>
      </w:divBdr>
    </w:div>
    <w:div w:id="1355419435">
      <w:bodyDiv w:val="1"/>
      <w:marLeft w:val="0"/>
      <w:marRight w:val="0"/>
      <w:marTop w:val="0"/>
      <w:marBottom w:val="0"/>
      <w:divBdr>
        <w:top w:val="none" w:sz="0" w:space="0" w:color="auto"/>
        <w:left w:val="none" w:sz="0" w:space="0" w:color="auto"/>
        <w:bottom w:val="none" w:sz="0" w:space="0" w:color="auto"/>
        <w:right w:val="none" w:sz="0" w:space="0" w:color="auto"/>
      </w:divBdr>
    </w:div>
    <w:div w:id="139600791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6164911">
      <w:bodyDiv w:val="1"/>
      <w:marLeft w:val="0"/>
      <w:marRight w:val="0"/>
      <w:marTop w:val="0"/>
      <w:marBottom w:val="0"/>
      <w:divBdr>
        <w:top w:val="none" w:sz="0" w:space="0" w:color="auto"/>
        <w:left w:val="none" w:sz="0" w:space="0" w:color="auto"/>
        <w:bottom w:val="none" w:sz="0" w:space="0" w:color="auto"/>
        <w:right w:val="none" w:sz="0" w:space="0" w:color="auto"/>
      </w:divBdr>
      <w:divsChild>
        <w:div w:id="1543251946">
          <w:marLeft w:val="0"/>
          <w:marRight w:val="0"/>
          <w:marTop w:val="0"/>
          <w:marBottom w:val="0"/>
          <w:divBdr>
            <w:top w:val="none" w:sz="0" w:space="0" w:color="auto"/>
            <w:left w:val="none" w:sz="0" w:space="0" w:color="auto"/>
            <w:bottom w:val="none" w:sz="0" w:space="0" w:color="auto"/>
            <w:right w:val="none" w:sz="0" w:space="0" w:color="auto"/>
          </w:divBdr>
          <w:divsChild>
            <w:div w:id="1739354356">
              <w:marLeft w:val="0"/>
              <w:marRight w:val="0"/>
              <w:marTop w:val="0"/>
              <w:marBottom w:val="0"/>
              <w:divBdr>
                <w:top w:val="none" w:sz="0" w:space="0" w:color="auto"/>
                <w:left w:val="none" w:sz="0" w:space="0" w:color="auto"/>
                <w:bottom w:val="none" w:sz="0" w:space="0" w:color="auto"/>
                <w:right w:val="none" w:sz="0" w:space="0" w:color="auto"/>
              </w:divBdr>
              <w:divsChild>
                <w:div w:id="96516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210758">
      <w:bodyDiv w:val="1"/>
      <w:marLeft w:val="0"/>
      <w:marRight w:val="0"/>
      <w:marTop w:val="0"/>
      <w:marBottom w:val="0"/>
      <w:divBdr>
        <w:top w:val="none" w:sz="0" w:space="0" w:color="auto"/>
        <w:left w:val="none" w:sz="0" w:space="0" w:color="auto"/>
        <w:bottom w:val="none" w:sz="0" w:space="0" w:color="auto"/>
        <w:right w:val="none" w:sz="0" w:space="0" w:color="auto"/>
      </w:divBdr>
      <w:divsChild>
        <w:div w:id="1886868381">
          <w:marLeft w:val="0"/>
          <w:marRight w:val="0"/>
          <w:marTop w:val="0"/>
          <w:marBottom w:val="0"/>
          <w:divBdr>
            <w:top w:val="none" w:sz="0" w:space="0" w:color="auto"/>
            <w:left w:val="none" w:sz="0" w:space="0" w:color="auto"/>
            <w:bottom w:val="none" w:sz="0" w:space="0" w:color="auto"/>
            <w:right w:val="none" w:sz="0" w:space="0" w:color="auto"/>
          </w:divBdr>
          <w:divsChild>
            <w:div w:id="189153020">
              <w:marLeft w:val="0"/>
              <w:marRight w:val="0"/>
              <w:marTop w:val="0"/>
              <w:marBottom w:val="0"/>
              <w:divBdr>
                <w:top w:val="none" w:sz="0" w:space="0" w:color="auto"/>
                <w:left w:val="none" w:sz="0" w:space="0" w:color="auto"/>
                <w:bottom w:val="none" w:sz="0" w:space="0" w:color="auto"/>
                <w:right w:val="none" w:sz="0" w:space="0" w:color="auto"/>
              </w:divBdr>
              <w:divsChild>
                <w:div w:id="118077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76519">
      <w:bodyDiv w:val="1"/>
      <w:marLeft w:val="0"/>
      <w:marRight w:val="0"/>
      <w:marTop w:val="0"/>
      <w:marBottom w:val="0"/>
      <w:divBdr>
        <w:top w:val="none" w:sz="0" w:space="0" w:color="auto"/>
        <w:left w:val="none" w:sz="0" w:space="0" w:color="auto"/>
        <w:bottom w:val="none" w:sz="0" w:space="0" w:color="auto"/>
        <w:right w:val="none" w:sz="0" w:space="0" w:color="auto"/>
      </w:divBdr>
      <w:divsChild>
        <w:div w:id="5258520">
          <w:marLeft w:val="0"/>
          <w:marRight w:val="0"/>
          <w:marTop w:val="0"/>
          <w:marBottom w:val="0"/>
          <w:divBdr>
            <w:top w:val="none" w:sz="0" w:space="0" w:color="auto"/>
            <w:left w:val="none" w:sz="0" w:space="0" w:color="auto"/>
            <w:bottom w:val="none" w:sz="0" w:space="0" w:color="auto"/>
            <w:right w:val="none" w:sz="0" w:space="0" w:color="auto"/>
          </w:divBdr>
          <w:divsChild>
            <w:div w:id="1850099850">
              <w:marLeft w:val="0"/>
              <w:marRight w:val="0"/>
              <w:marTop w:val="0"/>
              <w:marBottom w:val="0"/>
              <w:divBdr>
                <w:top w:val="none" w:sz="0" w:space="0" w:color="auto"/>
                <w:left w:val="none" w:sz="0" w:space="0" w:color="auto"/>
                <w:bottom w:val="none" w:sz="0" w:space="0" w:color="auto"/>
                <w:right w:val="none" w:sz="0" w:space="0" w:color="auto"/>
              </w:divBdr>
              <w:divsChild>
                <w:div w:id="190745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862586">
      <w:bodyDiv w:val="1"/>
      <w:marLeft w:val="0"/>
      <w:marRight w:val="0"/>
      <w:marTop w:val="0"/>
      <w:marBottom w:val="0"/>
      <w:divBdr>
        <w:top w:val="none" w:sz="0" w:space="0" w:color="auto"/>
        <w:left w:val="none" w:sz="0" w:space="0" w:color="auto"/>
        <w:bottom w:val="none" w:sz="0" w:space="0" w:color="auto"/>
        <w:right w:val="none" w:sz="0" w:space="0" w:color="auto"/>
      </w:divBdr>
      <w:divsChild>
        <w:div w:id="2099329634">
          <w:marLeft w:val="0"/>
          <w:marRight w:val="0"/>
          <w:marTop w:val="0"/>
          <w:marBottom w:val="0"/>
          <w:divBdr>
            <w:top w:val="none" w:sz="0" w:space="0" w:color="auto"/>
            <w:left w:val="none" w:sz="0" w:space="0" w:color="auto"/>
            <w:bottom w:val="none" w:sz="0" w:space="0" w:color="auto"/>
            <w:right w:val="none" w:sz="0" w:space="0" w:color="auto"/>
          </w:divBdr>
          <w:divsChild>
            <w:div w:id="2033067571">
              <w:marLeft w:val="0"/>
              <w:marRight w:val="0"/>
              <w:marTop w:val="0"/>
              <w:marBottom w:val="0"/>
              <w:divBdr>
                <w:top w:val="none" w:sz="0" w:space="0" w:color="auto"/>
                <w:left w:val="none" w:sz="0" w:space="0" w:color="auto"/>
                <w:bottom w:val="none" w:sz="0" w:space="0" w:color="auto"/>
                <w:right w:val="none" w:sz="0" w:space="0" w:color="auto"/>
              </w:divBdr>
              <w:divsChild>
                <w:div w:id="166994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214252">
      <w:bodyDiv w:val="1"/>
      <w:marLeft w:val="0"/>
      <w:marRight w:val="0"/>
      <w:marTop w:val="0"/>
      <w:marBottom w:val="0"/>
      <w:divBdr>
        <w:top w:val="none" w:sz="0" w:space="0" w:color="auto"/>
        <w:left w:val="none" w:sz="0" w:space="0" w:color="auto"/>
        <w:bottom w:val="none" w:sz="0" w:space="0" w:color="auto"/>
        <w:right w:val="none" w:sz="0" w:space="0" w:color="auto"/>
      </w:divBdr>
    </w:div>
    <w:div w:id="1923684141">
      <w:bodyDiv w:val="1"/>
      <w:marLeft w:val="0"/>
      <w:marRight w:val="0"/>
      <w:marTop w:val="0"/>
      <w:marBottom w:val="0"/>
      <w:divBdr>
        <w:top w:val="none" w:sz="0" w:space="0" w:color="auto"/>
        <w:left w:val="none" w:sz="0" w:space="0" w:color="auto"/>
        <w:bottom w:val="none" w:sz="0" w:space="0" w:color="auto"/>
        <w:right w:val="none" w:sz="0" w:space="0" w:color="auto"/>
      </w:divBdr>
    </w:div>
    <w:div w:id="2017490948">
      <w:bodyDiv w:val="1"/>
      <w:marLeft w:val="0"/>
      <w:marRight w:val="0"/>
      <w:marTop w:val="0"/>
      <w:marBottom w:val="0"/>
      <w:divBdr>
        <w:top w:val="none" w:sz="0" w:space="0" w:color="auto"/>
        <w:left w:val="none" w:sz="0" w:space="0" w:color="auto"/>
        <w:bottom w:val="none" w:sz="0" w:space="0" w:color="auto"/>
        <w:right w:val="none" w:sz="0" w:space="0" w:color="auto"/>
      </w:divBdr>
      <w:divsChild>
        <w:div w:id="272594995">
          <w:marLeft w:val="0"/>
          <w:marRight w:val="0"/>
          <w:marTop w:val="0"/>
          <w:marBottom w:val="0"/>
          <w:divBdr>
            <w:top w:val="none" w:sz="0" w:space="0" w:color="auto"/>
            <w:left w:val="none" w:sz="0" w:space="0" w:color="auto"/>
            <w:bottom w:val="none" w:sz="0" w:space="0" w:color="auto"/>
            <w:right w:val="none" w:sz="0" w:space="0" w:color="auto"/>
          </w:divBdr>
          <w:divsChild>
            <w:div w:id="1738630692">
              <w:marLeft w:val="0"/>
              <w:marRight w:val="0"/>
              <w:marTop w:val="0"/>
              <w:marBottom w:val="0"/>
              <w:divBdr>
                <w:top w:val="none" w:sz="0" w:space="0" w:color="auto"/>
                <w:left w:val="none" w:sz="0" w:space="0" w:color="auto"/>
                <w:bottom w:val="none" w:sz="0" w:space="0" w:color="auto"/>
                <w:right w:val="none" w:sz="0" w:space="0" w:color="auto"/>
              </w:divBdr>
              <w:divsChild>
                <w:div w:id="197925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E1D9F-ED1D-41E6-8827-8C03143D0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74DB791A</Template>
  <TotalTime>0</TotalTime>
  <Pages>1</Pages>
  <Words>602</Words>
  <Characters>3436</Characters>
  <Application>Microsoft Office Word</Application>
  <DocSecurity>0</DocSecurity>
  <Lines>28</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Microsoft</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Operti, Maria Camilla</cp:lastModifiedBy>
  <cp:revision>19</cp:revision>
  <cp:lastPrinted>2020-01-12T20:26:00Z</cp:lastPrinted>
  <dcterms:created xsi:type="dcterms:W3CDTF">2020-01-12T11:34:00Z</dcterms:created>
  <dcterms:modified xsi:type="dcterms:W3CDTF">2020-01-12T20:26:00Z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