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A13351" w14:textId="77777777" w:rsidR="00950CAE" w:rsidRPr="000A104D" w:rsidRDefault="00950CAE" w:rsidP="00950CAE">
      <w:pPr>
        <w:pStyle w:val="Body"/>
        <w:tabs>
          <w:tab w:val="center" w:pos="4419"/>
        </w:tabs>
        <w:spacing w:line="360" w:lineRule="auto"/>
        <w:rPr>
          <w:u w:val="single"/>
          <w:lang w:val="en-US"/>
        </w:rPr>
      </w:pPr>
      <w:bookmarkStart w:id="0" w:name="_GoBack"/>
      <w:bookmarkEnd w:id="0"/>
      <w:r>
        <w:rPr>
          <w:u w:val="single"/>
          <w:lang w:val="en-US"/>
        </w:rPr>
        <w:t xml:space="preserve">Liver transplant and </w:t>
      </w:r>
      <w:proofErr w:type="spellStart"/>
      <w:r>
        <w:rPr>
          <w:u w:val="single"/>
          <w:lang w:val="en-US"/>
        </w:rPr>
        <w:t>hemisplenectomy</w:t>
      </w:r>
      <w:proofErr w:type="spellEnd"/>
      <w:r>
        <w:rPr>
          <w:u w:val="single"/>
          <w:lang w:val="en-US"/>
        </w:rPr>
        <w:t xml:space="preserve"> in a child with resistant </w:t>
      </w:r>
      <w:proofErr w:type="spellStart"/>
      <w:r>
        <w:rPr>
          <w:u w:val="single"/>
          <w:lang w:val="en-US"/>
        </w:rPr>
        <w:t>multisystemic</w:t>
      </w:r>
      <w:proofErr w:type="spellEnd"/>
      <w:r>
        <w:rPr>
          <w:u w:val="single"/>
          <w:lang w:val="en-US"/>
        </w:rPr>
        <w:t xml:space="preserve"> Langerhans Cell </w:t>
      </w:r>
      <w:proofErr w:type="spellStart"/>
      <w:r>
        <w:rPr>
          <w:u w:val="single"/>
          <w:lang w:val="en-US"/>
        </w:rPr>
        <w:t>Histiocytosis</w:t>
      </w:r>
      <w:proofErr w:type="spellEnd"/>
      <w:r>
        <w:rPr>
          <w:u w:val="single"/>
          <w:lang w:val="en-US"/>
        </w:rPr>
        <w:t xml:space="preserve"> </w:t>
      </w:r>
    </w:p>
    <w:p w14:paraId="3573342E" w14:textId="77777777" w:rsidR="00BB68DD" w:rsidRPr="000A104D" w:rsidRDefault="00BB68DD" w:rsidP="00BB68DD">
      <w:pPr>
        <w:pStyle w:val="Body"/>
        <w:spacing w:line="360" w:lineRule="auto"/>
        <w:jc w:val="center"/>
        <w:rPr>
          <w:u w:val="single"/>
          <w:lang w:val="en-US"/>
        </w:rPr>
      </w:pPr>
    </w:p>
    <w:p w14:paraId="367ECF43" w14:textId="43BA0F3E" w:rsidR="00BB68DD" w:rsidRPr="00910E6E" w:rsidRDefault="00BB68DD" w:rsidP="00910E6E">
      <w:pPr>
        <w:pStyle w:val="Body"/>
        <w:spacing w:line="360" w:lineRule="auto"/>
        <w:jc w:val="center"/>
        <w:outlineLvl w:val="0"/>
        <w:rPr>
          <w:lang w:val="es-ES"/>
        </w:rPr>
      </w:pPr>
      <w:r w:rsidRPr="00B24FDB">
        <w:rPr>
          <w:lang w:val="es-ES"/>
        </w:rPr>
        <w:t xml:space="preserve">Sergio Assia-Zamora </w:t>
      </w:r>
      <w:r w:rsidRPr="00B24FDB">
        <w:rPr>
          <w:vertAlign w:val="superscript"/>
          <w:lang w:val="es-ES"/>
        </w:rPr>
        <w:t>a</w:t>
      </w:r>
      <w:r w:rsidR="00910E6E">
        <w:rPr>
          <w:lang w:val="es-ES"/>
        </w:rPr>
        <w:t xml:space="preserve"> </w:t>
      </w:r>
      <w:r>
        <w:rPr>
          <w:lang w:val="es-ES"/>
        </w:rPr>
        <w:t>Héctor Vilca-Melé</w:t>
      </w:r>
      <w:r w:rsidRPr="00CB475F">
        <w:rPr>
          <w:lang w:val="es-ES"/>
        </w:rPr>
        <w:t xml:space="preserve">ndez </w:t>
      </w:r>
      <w:r>
        <w:rPr>
          <w:vertAlign w:val="superscript"/>
          <w:lang w:val="es-ES"/>
        </w:rPr>
        <w:t>a</w:t>
      </w:r>
      <w:r w:rsidR="00910E6E">
        <w:rPr>
          <w:lang w:val="es-ES"/>
        </w:rPr>
        <w:t xml:space="preserve"> </w:t>
      </w:r>
      <w:r>
        <w:rPr>
          <w:lang w:val="es-ES"/>
        </w:rPr>
        <w:t>Miriam Corté</w:t>
      </w:r>
      <w:r w:rsidRPr="00CB475F">
        <w:rPr>
          <w:lang w:val="es-ES"/>
        </w:rPr>
        <w:t>s-</w:t>
      </w:r>
      <w:proofErr w:type="spellStart"/>
      <w:r w:rsidRPr="00CB475F">
        <w:rPr>
          <w:lang w:val="es-ES"/>
        </w:rPr>
        <w:t>Cerisuelo</w:t>
      </w:r>
      <w:proofErr w:type="spellEnd"/>
      <w:r w:rsidRPr="00CB475F">
        <w:rPr>
          <w:lang w:val="es-ES"/>
        </w:rPr>
        <w:t xml:space="preserve"> </w:t>
      </w:r>
      <w:r>
        <w:rPr>
          <w:vertAlign w:val="superscript"/>
          <w:lang w:val="es-ES"/>
        </w:rPr>
        <w:t>a</w:t>
      </w:r>
      <w:r w:rsidR="00910E6E">
        <w:rPr>
          <w:lang w:val="es-ES"/>
        </w:rPr>
        <w:t xml:space="preserve"> Mohamed </w:t>
      </w:r>
      <w:proofErr w:type="spellStart"/>
      <w:r w:rsidR="00910E6E">
        <w:rPr>
          <w:lang w:val="es-ES"/>
        </w:rPr>
        <w:t>Rela</w:t>
      </w:r>
      <w:r>
        <w:rPr>
          <w:vertAlign w:val="superscript"/>
          <w:lang w:val="es-ES"/>
        </w:rPr>
        <w:t>a</w:t>
      </w:r>
      <w:proofErr w:type="spellEnd"/>
      <w:r w:rsidR="00910E6E">
        <w:rPr>
          <w:vertAlign w:val="superscript"/>
          <w:lang w:val="es-ES"/>
        </w:rPr>
        <w:t xml:space="preserve"> </w:t>
      </w:r>
      <w:proofErr w:type="spellStart"/>
      <w:r w:rsidRPr="00910E6E">
        <w:rPr>
          <w:lang w:val="es-ES"/>
        </w:rPr>
        <w:t>Nigel</w:t>
      </w:r>
      <w:proofErr w:type="spellEnd"/>
      <w:r w:rsidRPr="00910E6E">
        <w:rPr>
          <w:lang w:val="es-ES"/>
        </w:rPr>
        <w:t xml:space="preserve"> </w:t>
      </w:r>
      <w:proofErr w:type="spellStart"/>
      <w:r w:rsidRPr="00910E6E">
        <w:rPr>
          <w:lang w:val="es-ES"/>
        </w:rPr>
        <w:t>Heaton</w:t>
      </w:r>
      <w:proofErr w:type="spellEnd"/>
      <w:r w:rsidRPr="00910E6E">
        <w:rPr>
          <w:lang w:val="es-ES"/>
        </w:rPr>
        <w:t xml:space="preserve"> </w:t>
      </w:r>
      <w:r w:rsidRPr="00910E6E">
        <w:rPr>
          <w:vertAlign w:val="superscript"/>
          <w:lang w:val="es-ES"/>
        </w:rPr>
        <w:t>a</w:t>
      </w:r>
    </w:p>
    <w:p w14:paraId="39E20EDD" w14:textId="77777777" w:rsidR="00BB68DD" w:rsidRPr="00910E6E" w:rsidRDefault="00BB68DD" w:rsidP="00BB68DD">
      <w:pPr>
        <w:pStyle w:val="Body"/>
        <w:spacing w:line="360" w:lineRule="auto"/>
        <w:jc w:val="center"/>
        <w:rPr>
          <w:u w:val="single"/>
          <w:lang w:val="es-ES"/>
        </w:rPr>
      </w:pPr>
    </w:p>
    <w:p w14:paraId="3060FFBD" w14:textId="77777777" w:rsidR="00BB68DD" w:rsidRPr="000A104D" w:rsidRDefault="00BB68DD" w:rsidP="00BB68DD">
      <w:pPr>
        <w:pStyle w:val="Body"/>
        <w:spacing w:line="360" w:lineRule="auto"/>
        <w:ind w:left="700" w:hanging="700"/>
        <w:jc w:val="both"/>
        <w:rPr>
          <w:lang w:val="en-US"/>
        </w:rPr>
      </w:pPr>
      <w:proofErr w:type="spellStart"/>
      <w:r w:rsidRPr="000A104D">
        <w:rPr>
          <w:vertAlign w:val="superscript"/>
          <w:lang w:val="en-US"/>
        </w:rPr>
        <w:t>a</w:t>
      </w:r>
      <w:proofErr w:type="spellEnd"/>
      <w:r w:rsidRPr="000A104D">
        <w:rPr>
          <w:lang w:val="en-US"/>
        </w:rPr>
        <w:t xml:space="preserve"> </w:t>
      </w:r>
      <w:r w:rsidRPr="000A104D">
        <w:rPr>
          <w:lang w:val="en-US"/>
        </w:rPr>
        <w:tab/>
      </w:r>
      <w:r>
        <w:rPr>
          <w:lang w:val="en-US"/>
        </w:rPr>
        <w:t>Institute of Liver Studies, Kings College Hospital, London, UK</w:t>
      </w:r>
      <w:r w:rsidRPr="000A104D">
        <w:rPr>
          <w:lang w:val="en-US"/>
        </w:rPr>
        <w:t>.</w:t>
      </w:r>
    </w:p>
    <w:p w14:paraId="6D0141D9" w14:textId="77777777" w:rsidR="005541E6" w:rsidRDefault="005541E6" w:rsidP="005541E6">
      <w:pPr>
        <w:pStyle w:val="Body"/>
        <w:tabs>
          <w:tab w:val="center" w:pos="4419"/>
        </w:tabs>
        <w:spacing w:line="360" w:lineRule="auto"/>
        <w:outlineLvl w:val="0"/>
        <w:rPr>
          <w:u w:val="single"/>
          <w:lang w:val="en-US"/>
        </w:rPr>
      </w:pPr>
    </w:p>
    <w:p w14:paraId="127534B1" w14:textId="77777777" w:rsidR="00BB68DD" w:rsidRPr="000A104D" w:rsidRDefault="00BB68DD" w:rsidP="005541E6">
      <w:pPr>
        <w:pStyle w:val="Body"/>
        <w:tabs>
          <w:tab w:val="center" w:pos="4419"/>
        </w:tabs>
        <w:spacing w:line="360" w:lineRule="auto"/>
        <w:outlineLvl w:val="0"/>
        <w:rPr>
          <w:u w:val="single"/>
          <w:lang w:val="en-US"/>
        </w:rPr>
      </w:pPr>
    </w:p>
    <w:p w14:paraId="26F1AB0F" w14:textId="77777777" w:rsidR="00950CAE" w:rsidRPr="000A104D" w:rsidRDefault="00950CAE" w:rsidP="00950CAE">
      <w:pPr>
        <w:pStyle w:val="Body"/>
        <w:spacing w:line="360" w:lineRule="auto"/>
        <w:outlineLvl w:val="0"/>
        <w:rPr>
          <w:u w:val="single"/>
          <w:lang w:val="en-US"/>
        </w:rPr>
      </w:pPr>
      <w:r w:rsidRPr="000A104D">
        <w:rPr>
          <w:u w:val="single"/>
          <w:lang w:val="en-US"/>
        </w:rPr>
        <w:t>Abstract</w:t>
      </w:r>
    </w:p>
    <w:p w14:paraId="203C33B8" w14:textId="77777777" w:rsidR="00950CAE" w:rsidRPr="000A104D" w:rsidRDefault="00950CAE" w:rsidP="00950CAE">
      <w:pPr>
        <w:pStyle w:val="Body"/>
        <w:spacing w:line="360" w:lineRule="auto"/>
        <w:rPr>
          <w:u w:val="single"/>
          <w:lang w:val="en-US"/>
        </w:rPr>
      </w:pPr>
    </w:p>
    <w:p w14:paraId="4098E872" w14:textId="77777777" w:rsidR="00950CAE" w:rsidRPr="0073469A" w:rsidRDefault="00950CAE" w:rsidP="00950CAE">
      <w:pPr>
        <w:pStyle w:val="Body"/>
        <w:spacing w:line="360" w:lineRule="auto"/>
        <w:jc w:val="both"/>
        <w:rPr>
          <w:lang w:val="en-US"/>
        </w:rPr>
      </w:pPr>
      <w:r w:rsidRPr="0073469A">
        <w:rPr>
          <w:rFonts w:cs="Arial"/>
          <w:bCs/>
          <w:lang w:val="en-US"/>
        </w:rPr>
        <w:t xml:space="preserve">We </w:t>
      </w:r>
      <w:r>
        <w:rPr>
          <w:rFonts w:cs="Arial"/>
          <w:bCs/>
          <w:lang w:val="en-US"/>
        </w:rPr>
        <w:t>present a case of a</w:t>
      </w:r>
      <w:r w:rsidRPr="0073469A">
        <w:rPr>
          <w:rFonts w:cs="Arial"/>
          <w:bCs/>
          <w:lang w:val="en-US"/>
        </w:rPr>
        <w:t xml:space="preserve"> </w:t>
      </w:r>
      <w:r>
        <w:rPr>
          <w:rFonts w:cs="Arial"/>
          <w:bCs/>
          <w:lang w:val="en-US"/>
        </w:rPr>
        <w:t>2-year male</w:t>
      </w:r>
      <w:r w:rsidRPr="0073469A">
        <w:rPr>
          <w:rFonts w:cs="Arial"/>
          <w:bCs/>
          <w:lang w:val="en-US"/>
        </w:rPr>
        <w:t xml:space="preserve"> with </w:t>
      </w:r>
      <w:r>
        <w:rPr>
          <w:rFonts w:cs="Arial"/>
          <w:bCs/>
          <w:lang w:val="en-US"/>
        </w:rPr>
        <w:t xml:space="preserve">resistant </w:t>
      </w:r>
      <w:proofErr w:type="spellStart"/>
      <w:r>
        <w:rPr>
          <w:rFonts w:cs="Arial"/>
          <w:bCs/>
          <w:lang w:val="en-US"/>
        </w:rPr>
        <w:t>multisystemic</w:t>
      </w:r>
      <w:proofErr w:type="spellEnd"/>
      <w:r>
        <w:rPr>
          <w:rFonts w:cs="Arial"/>
          <w:bCs/>
          <w:lang w:val="en-US"/>
        </w:rPr>
        <w:t xml:space="preserve"> Langerhans Cell </w:t>
      </w:r>
      <w:proofErr w:type="spellStart"/>
      <w:r>
        <w:rPr>
          <w:rFonts w:cs="Arial"/>
          <w:bCs/>
          <w:lang w:val="en-US"/>
        </w:rPr>
        <w:t>Histiocytosis</w:t>
      </w:r>
      <w:proofErr w:type="spellEnd"/>
      <w:r>
        <w:rPr>
          <w:rFonts w:cs="Arial"/>
          <w:bCs/>
          <w:lang w:val="en-US"/>
        </w:rPr>
        <w:t xml:space="preserve"> (LCH)</w:t>
      </w:r>
      <w:r w:rsidRPr="0073469A">
        <w:rPr>
          <w:rFonts w:cs="Arial"/>
          <w:bCs/>
          <w:lang w:val="en-US"/>
        </w:rPr>
        <w:t xml:space="preserve"> </w:t>
      </w:r>
      <w:r>
        <w:rPr>
          <w:rFonts w:cs="Arial"/>
          <w:bCs/>
          <w:lang w:val="en-US"/>
        </w:rPr>
        <w:t xml:space="preserve">who underwent liver transplantation and </w:t>
      </w:r>
      <w:proofErr w:type="spellStart"/>
      <w:r>
        <w:rPr>
          <w:rFonts w:cs="Arial"/>
          <w:bCs/>
          <w:lang w:val="en-US"/>
        </w:rPr>
        <w:t>hemisplenectomy</w:t>
      </w:r>
      <w:proofErr w:type="spellEnd"/>
      <w:r>
        <w:rPr>
          <w:rFonts w:cs="Arial"/>
          <w:bCs/>
          <w:lang w:val="en-US"/>
        </w:rPr>
        <w:t xml:space="preserve"> at the same time</w:t>
      </w:r>
      <w:r w:rsidRPr="0073469A">
        <w:rPr>
          <w:rFonts w:cs="Arial"/>
          <w:bCs/>
          <w:lang w:val="en-US"/>
        </w:rPr>
        <w:t xml:space="preserve">. </w:t>
      </w:r>
      <w:r>
        <w:rPr>
          <w:rFonts w:cs="Arial"/>
          <w:bCs/>
          <w:lang w:val="en-US"/>
        </w:rPr>
        <w:t xml:space="preserve">Massive splenomegaly in this case was considered to be secondary to liver disease and portal hypertension (PHT) or represent residual disease from the LCH. At transplant, a decision has to be made regarding the likely cause of splenomegaly. The presence of varices around the inferior pole of the spleen signify PHT and may need to be ligated if portal flow may be compromised. Performing splenectomy to stage the LCH with greater certainty may compromise the splenic vein and risk the long term of sepsis. The performance of </w:t>
      </w:r>
      <w:proofErr w:type="spellStart"/>
      <w:r>
        <w:rPr>
          <w:rFonts w:cs="Arial"/>
          <w:bCs/>
          <w:lang w:val="en-US"/>
        </w:rPr>
        <w:t>hemisplenectomy</w:t>
      </w:r>
      <w:proofErr w:type="spellEnd"/>
      <w:r>
        <w:rPr>
          <w:rFonts w:cs="Arial"/>
          <w:bCs/>
          <w:lang w:val="en-US"/>
        </w:rPr>
        <w:t xml:space="preserve"> enables division of </w:t>
      </w:r>
      <w:proofErr w:type="spellStart"/>
      <w:r>
        <w:rPr>
          <w:rFonts w:cs="Arial"/>
          <w:bCs/>
          <w:lang w:val="en-US"/>
        </w:rPr>
        <w:t>perisplenic</w:t>
      </w:r>
      <w:proofErr w:type="spellEnd"/>
      <w:r>
        <w:rPr>
          <w:rFonts w:cs="Arial"/>
          <w:bCs/>
          <w:lang w:val="en-US"/>
        </w:rPr>
        <w:t xml:space="preserve"> and lienorenal shunts maintaining good portal vein flow, reduces the size of the spleen, decreases splenic arterial blood flow (and increases hepatic artery flow) and helps the patient recovery of the platelet count more rapidly. In this circumstance, it allows for examination of a significant portion of the spleen to assess residual LCH.  Partial </w:t>
      </w:r>
      <w:proofErr w:type="spellStart"/>
      <w:r>
        <w:rPr>
          <w:rFonts w:cs="Arial"/>
          <w:bCs/>
          <w:lang w:val="en-US"/>
        </w:rPr>
        <w:t>hemisplenectomy</w:t>
      </w:r>
      <w:proofErr w:type="spellEnd"/>
      <w:r>
        <w:rPr>
          <w:rFonts w:cs="Arial"/>
          <w:bCs/>
          <w:lang w:val="en-US"/>
        </w:rPr>
        <w:t xml:space="preserve"> can be an alternative and reduce the risk of post-transplant lymphoproliferative disease</w:t>
      </w:r>
      <w:r w:rsidRPr="0073469A">
        <w:rPr>
          <w:rFonts w:cs="Arial"/>
          <w:bCs/>
          <w:lang w:val="en-US"/>
        </w:rPr>
        <w:t xml:space="preserve">. </w:t>
      </w:r>
      <w:r>
        <w:rPr>
          <w:rFonts w:cs="Arial"/>
          <w:bCs/>
          <w:lang w:val="en-US"/>
        </w:rPr>
        <w:t>Whilst</w:t>
      </w:r>
      <w:r w:rsidRPr="0073469A">
        <w:rPr>
          <w:rFonts w:cs="Arial"/>
          <w:bCs/>
          <w:lang w:val="en-US"/>
        </w:rPr>
        <w:t xml:space="preserve"> </w:t>
      </w:r>
      <w:r>
        <w:rPr>
          <w:rFonts w:cs="Arial"/>
          <w:bCs/>
          <w:lang w:val="en-US"/>
        </w:rPr>
        <w:t xml:space="preserve">rare Langerhans cell </w:t>
      </w:r>
      <w:proofErr w:type="spellStart"/>
      <w:r>
        <w:rPr>
          <w:rFonts w:cs="Arial"/>
          <w:bCs/>
          <w:lang w:val="en-US"/>
        </w:rPr>
        <w:t>Histiocytosis</w:t>
      </w:r>
      <w:proofErr w:type="spellEnd"/>
      <w:r>
        <w:rPr>
          <w:rFonts w:cs="Arial"/>
          <w:bCs/>
          <w:lang w:val="en-US"/>
        </w:rPr>
        <w:t xml:space="preserve"> can present with liver failure, therefore liver transplant is a good alternative for these patients. Patients with this kind of disease will receive chemotherapy and </w:t>
      </w:r>
      <w:proofErr w:type="spellStart"/>
      <w:r>
        <w:rPr>
          <w:rFonts w:cs="Arial"/>
          <w:bCs/>
          <w:lang w:val="en-US"/>
        </w:rPr>
        <w:t>hemato</w:t>
      </w:r>
      <w:proofErr w:type="spellEnd"/>
      <w:r>
        <w:rPr>
          <w:rFonts w:cs="Arial"/>
          <w:bCs/>
          <w:lang w:val="en-US"/>
        </w:rPr>
        <w:t xml:space="preserve">-oncological follow up and the risk of associated complications should be prevented as possible. Partial splenectomy can be a good alternative in this kind of patients.  </w:t>
      </w:r>
    </w:p>
    <w:p w14:paraId="451A25A5" w14:textId="77777777" w:rsidR="00950CAE" w:rsidRPr="000A104D" w:rsidRDefault="00950CAE" w:rsidP="00950CAE">
      <w:pPr>
        <w:pStyle w:val="Body"/>
        <w:spacing w:line="360" w:lineRule="auto"/>
        <w:jc w:val="both"/>
        <w:rPr>
          <w:lang w:val="en-US"/>
        </w:rPr>
      </w:pPr>
    </w:p>
    <w:p w14:paraId="172308AE" w14:textId="77777777" w:rsidR="00950CAE" w:rsidRPr="000A104D" w:rsidRDefault="00950CAE" w:rsidP="00950CAE">
      <w:pPr>
        <w:pStyle w:val="Body"/>
        <w:spacing w:line="360" w:lineRule="auto"/>
        <w:jc w:val="both"/>
        <w:outlineLvl w:val="0"/>
        <w:rPr>
          <w:u w:val="single"/>
          <w:lang w:val="en-US"/>
        </w:rPr>
      </w:pPr>
      <w:r w:rsidRPr="000A104D">
        <w:rPr>
          <w:u w:val="single"/>
          <w:lang w:val="en-US"/>
        </w:rPr>
        <w:t>Keywords</w:t>
      </w:r>
    </w:p>
    <w:p w14:paraId="3610B79B" w14:textId="77777777" w:rsidR="00950CAE" w:rsidRPr="000A104D" w:rsidRDefault="00950CAE" w:rsidP="00950CAE">
      <w:pPr>
        <w:pStyle w:val="Body"/>
        <w:spacing w:line="360" w:lineRule="auto"/>
        <w:jc w:val="both"/>
        <w:outlineLvl w:val="0"/>
        <w:rPr>
          <w:lang w:val="en-US"/>
        </w:rPr>
      </w:pPr>
      <w:r>
        <w:rPr>
          <w:lang w:val="en-US"/>
        </w:rPr>
        <w:t xml:space="preserve">Langerhans Cell </w:t>
      </w:r>
      <w:proofErr w:type="spellStart"/>
      <w:r>
        <w:rPr>
          <w:lang w:val="en-US"/>
        </w:rPr>
        <w:t>Histiocytosis</w:t>
      </w:r>
      <w:proofErr w:type="spellEnd"/>
      <w:r>
        <w:rPr>
          <w:lang w:val="en-US"/>
        </w:rPr>
        <w:t xml:space="preserve">, </w:t>
      </w:r>
      <w:proofErr w:type="spellStart"/>
      <w:r>
        <w:rPr>
          <w:lang w:val="en-US"/>
        </w:rPr>
        <w:t>hemisplenectomy</w:t>
      </w:r>
      <w:proofErr w:type="spellEnd"/>
      <w:r>
        <w:rPr>
          <w:lang w:val="en-US"/>
        </w:rPr>
        <w:t>, liver transplant</w:t>
      </w:r>
      <w:r w:rsidRPr="000A104D">
        <w:rPr>
          <w:lang w:val="en-US"/>
        </w:rPr>
        <w:t>.</w:t>
      </w:r>
    </w:p>
    <w:p w14:paraId="3A607838" w14:textId="77777777" w:rsidR="00950CAE" w:rsidRPr="000A104D" w:rsidRDefault="00950CAE" w:rsidP="00950CAE">
      <w:pPr>
        <w:pStyle w:val="Body"/>
        <w:spacing w:line="360" w:lineRule="auto"/>
        <w:jc w:val="both"/>
        <w:rPr>
          <w:lang w:val="en-US"/>
        </w:rPr>
      </w:pPr>
    </w:p>
    <w:p w14:paraId="21F0DE0D" w14:textId="77777777" w:rsidR="00950CAE" w:rsidRPr="000A104D" w:rsidRDefault="00950CAE" w:rsidP="00950CAE">
      <w:pPr>
        <w:pStyle w:val="Body"/>
        <w:spacing w:line="360" w:lineRule="auto"/>
        <w:rPr>
          <w:lang w:val="en-US"/>
        </w:rPr>
      </w:pPr>
    </w:p>
    <w:p w14:paraId="6AEC16B5" w14:textId="77777777" w:rsidR="005541E6" w:rsidRDefault="005541E6" w:rsidP="005541E6">
      <w:pPr>
        <w:pStyle w:val="Body"/>
        <w:spacing w:line="360" w:lineRule="auto"/>
        <w:jc w:val="both"/>
        <w:rPr>
          <w:lang w:val="en-US"/>
        </w:rPr>
      </w:pPr>
    </w:p>
    <w:p w14:paraId="143FCC21" w14:textId="2D9BF7B9" w:rsidR="00BB68DD" w:rsidRPr="00BB68DD" w:rsidRDefault="00BB68DD" w:rsidP="005541E6">
      <w:pPr>
        <w:pStyle w:val="Body"/>
        <w:spacing w:line="360" w:lineRule="auto"/>
        <w:jc w:val="both"/>
        <w:rPr>
          <w:u w:val="single"/>
          <w:lang w:val="en-US"/>
        </w:rPr>
      </w:pPr>
      <w:r>
        <w:rPr>
          <w:u w:val="single"/>
          <w:lang w:val="en-US"/>
        </w:rPr>
        <w:t>Bi</w:t>
      </w:r>
      <w:r w:rsidRPr="00BB68DD">
        <w:rPr>
          <w:u w:val="single"/>
          <w:lang w:val="en-US"/>
        </w:rPr>
        <w:t>ography</w:t>
      </w:r>
    </w:p>
    <w:p w14:paraId="079E2FFB" w14:textId="77777777" w:rsidR="00BB68DD" w:rsidRDefault="00BB68DD" w:rsidP="005541E6">
      <w:pPr>
        <w:pStyle w:val="Body"/>
        <w:spacing w:line="360" w:lineRule="auto"/>
        <w:jc w:val="both"/>
        <w:rPr>
          <w:lang w:val="en-US"/>
        </w:rPr>
      </w:pPr>
    </w:p>
    <w:p w14:paraId="5AA35A97" w14:textId="559314FB" w:rsidR="00BB68DD" w:rsidRPr="00BB68DD" w:rsidRDefault="00BB68DD" w:rsidP="005541E6">
      <w:pPr>
        <w:pStyle w:val="Body"/>
        <w:spacing w:line="360" w:lineRule="auto"/>
        <w:jc w:val="both"/>
        <w:rPr>
          <w:lang w:val="en-US"/>
        </w:rPr>
      </w:pPr>
      <w:r w:rsidRPr="00BB68DD">
        <w:rPr>
          <w:lang w:val="es-ES"/>
        </w:rPr>
        <w:t xml:space="preserve">Medical </w:t>
      </w:r>
      <w:proofErr w:type="spellStart"/>
      <w:r w:rsidRPr="00BB68DD">
        <w:rPr>
          <w:lang w:val="es-ES"/>
        </w:rPr>
        <w:t>school</w:t>
      </w:r>
      <w:proofErr w:type="spellEnd"/>
      <w:r w:rsidRPr="00BB68DD">
        <w:rPr>
          <w:lang w:val="es-ES"/>
        </w:rPr>
        <w:t xml:space="preserve">, Universidad la Salle </w:t>
      </w:r>
      <w:proofErr w:type="spellStart"/>
      <w:r w:rsidRPr="00BB68DD">
        <w:rPr>
          <w:lang w:val="es-ES"/>
        </w:rPr>
        <w:t>Mexico</w:t>
      </w:r>
      <w:proofErr w:type="spellEnd"/>
      <w:r w:rsidRPr="00BB68DD">
        <w:rPr>
          <w:lang w:val="es-ES"/>
        </w:rPr>
        <w:t xml:space="preserve"> City. </w:t>
      </w:r>
      <w:r w:rsidRPr="00BB68DD">
        <w:rPr>
          <w:lang w:val="en-US"/>
        </w:rPr>
        <w:t>General Pediatrics, National Institute of Pediatrics Mexico City. Pediatric Surgery, National Institu</w:t>
      </w:r>
      <w:r>
        <w:rPr>
          <w:lang w:val="en-US"/>
        </w:rPr>
        <w:t>t</w:t>
      </w:r>
      <w:r w:rsidRPr="00BB68DD">
        <w:rPr>
          <w:lang w:val="en-US"/>
        </w:rPr>
        <w:t xml:space="preserve">e of Pediatrics, Mexico City. </w:t>
      </w:r>
      <w:r>
        <w:rPr>
          <w:lang w:val="en-US"/>
        </w:rPr>
        <w:t xml:space="preserve">Liver Transplant Fellow at Kings College Hospital London, UK. Written 7 chapters in books and 3 articles in international journals. </w:t>
      </w:r>
    </w:p>
    <w:p w14:paraId="7E301FC0" w14:textId="77777777" w:rsidR="005541E6" w:rsidRPr="00BB68DD" w:rsidRDefault="005541E6" w:rsidP="005541E6">
      <w:pPr>
        <w:pStyle w:val="Body"/>
        <w:spacing w:line="360" w:lineRule="auto"/>
        <w:jc w:val="both"/>
        <w:rPr>
          <w:lang w:val="en-US"/>
        </w:rPr>
      </w:pPr>
    </w:p>
    <w:p w14:paraId="173F0EA6" w14:textId="2084C2A3" w:rsidR="005541E6" w:rsidRPr="00BB68DD" w:rsidRDefault="00A73B9F" w:rsidP="005541E6">
      <w:pPr>
        <w:pStyle w:val="Body"/>
        <w:spacing w:line="360" w:lineRule="auto"/>
        <w:rPr>
          <w:lang w:val="en-US"/>
        </w:rPr>
      </w:pPr>
      <w:r w:rsidRPr="00A73B9F">
        <w:rPr>
          <w:lang w:val="en-US"/>
        </w:rPr>
        <w:drawing>
          <wp:inline distT="0" distB="0" distL="0" distR="0" wp14:anchorId="202BB957" wp14:editId="4871F514">
            <wp:extent cx="1562100" cy="2349500"/>
            <wp:effectExtent l="0" t="0" r="12700" b="1270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562100" cy="2349500"/>
                    </a:xfrm>
                    <a:prstGeom prst="rect">
                      <a:avLst/>
                    </a:prstGeom>
                  </pic:spPr>
                </pic:pic>
              </a:graphicData>
            </a:graphic>
          </wp:inline>
        </w:drawing>
      </w:r>
    </w:p>
    <w:p w14:paraId="6921C08E" w14:textId="77777777" w:rsidR="009A006C" w:rsidRPr="00BB68DD" w:rsidRDefault="00950CAE"/>
    <w:sectPr w:rsidR="009A006C" w:rsidRPr="00BB68DD" w:rsidSect="0028062B">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9"/>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1E6"/>
    <w:rsid w:val="0028062B"/>
    <w:rsid w:val="005541E6"/>
    <w:rsid w:val="00706065"/>
    <w:rsid w:val="00910E6E"/>
    <w:rsid w:val="00950CAE"/>
    <w:rsid w:val="00A73B9F"/>
    <w:rsid w:val="00BB68DD"/>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428D45FB"/>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5541E6"/>
    <w:pPr>
      <w:pBdr>
        <w:top w:val="nil"/>
        <w:left w:val="nil"/>
        <w:bottom w:val="nil"/>
        <w:right w:val="nil"/>
        <w:between w:val="nil"/>
        <w:bar w:val="nil"/>
      </w:pBdr>
    </w:pPr>
    <w:rPr>
      <w:rFonts w:ascii="Cambria" w:eastAsia="Cambria" w:hAnsi="Cambria" w:cs="Cambria"/>
      <w:color w:val="000000"/>
      <w:u w:color="000000"/>
      <w:bdr w:val="nil"/>
      <w:lang w:val="es-MX"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tiff"/><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341</Words>
  <Characters>1947</Characters>
  <Application>Microsoft Macintosh Word</Application>
  <DocSecurity>0</DocSecurity>
  <Lines>16</Lines>
  <Paragraphs>4</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Primary Liver Transplant in a child with Syndromic Extrahepatic Biliary Atresia </vt:lpstr>
      <vt:lpstr>Sergio Assia-Zamora a</vt:lpstr>
      <vt:lpstr/>
      <vt:lpstr/>
      <vt:lpstr>Abstract</vt:lpstr>
      <vt:lpstr>Keywords</vt:lpstr>
    </vt:vector>
  </TitlesOfParts>
  <LinksUpToDate>false</LinksUpToDate>
  <CharactersWithSpaces>2284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Assia Robles</dc:creator>
  <cp:keywords/>
  <dc:description/>
  <cp:lastModifiedBy>Sergio Assia Robles</cp:lastModifiedBy>
  <cp:revision>2</cp:revision>
  <dcterms:created xsi:type="dcterms:W3CDTF">2018-05-27T21:10:00Z</dcterms:created>
  <dcterms:modified xsi:type="dcterms:W3CDTF">2018-05-27T21:10:00Z</dcterms:modified>
</cp:coreProperties>
</file>