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9106" w14:textId="28E92D5E" w:rsidR="00651DF4" w:rsidRPr="00651DF4" w:rsidRDefault="00651DF4" w:rsidP="00651DF4">
      <w:pPr>
        <w:pStyle w:val="BodyText"/>
        <w:spacing w:before="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651DF4">
        <w:rPr>
          <w:rFonts w:ascii="Calibri" w:eastAsia="Minion Pro" w:hAnsi="Calibri" w:cs="Calibri"/>
          <w:b/>
          <w:bCs/>
          <w:color w:val="337AB7"/>
          <w:sz w:val="36"/>
          <w:szCs w:val="36"/>
        </w:rPr>
        <w:t>﻿</w:t>
      </w:r>
      <w:r w:rsidRPr="00651DF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Beware of lethal Wernicke's encephalopathy after cytoreductive surgery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651DF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with HIPEC for peritoneal pseudomyxoma: Case report of morbidity and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651DF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mortality review</w:t>
      </w:r>
    </w:p>
    <w:p w14:paraId="37940207" w14:textId="17DAA210" w:rsidR="00651DF4" w:rsidRPr="00651DF4" w:rsidRDefault="00651DF4" w:rsidP="00651DF4">
      <w:pPr>
        <w:pStyle w:val="BodyText"/>
        <w:spacing w:before="3"/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</w:pPr>
      <w:proofErr w:type="spellStart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Oumayma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 Lahnaoui 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(1,2</w:t>
      </w:r>
      <w:proofErr w:type="gramStart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)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,*</w:t>
      </w:r>
      <w:proofErr w:type="gramEnd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, Nezha EL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Bahaoui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 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(1)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, Raouf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Mohsine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 (1,2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)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, Amine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Souadka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 xml:space="preserve"> (1,2</w:t>
      </w:r>
      <w:r w:rsidRPr="00651DF4">
        <w:rPr>
          <w:rFonts w:ascii="Minion Pro" w:eastAsia="Minion Pro" w:hAnsi="Minion Pro" w:cs="Minion Pro"/>
          <w:color w:val="000000" w:themeColor="text1"/>
          <w:sz w:val="24"/>
          <w:szCs w:val="24"/>
          <w:lang w:val="fr-FR"/>
        </w:rPr>
        <w:t>)</w:t>
      </w:r>
    </w:p>
    <w:p w14:paraId="441E8EB3" w14:textId="31227D52" w:rsidR="00651DF4" w:rsidRPr="00651DF4" w:rsidRDefault="00651DF4" w:rsidP="00651DF4">
      <w:pPr>
        <w:pStyle w:val="BodyText"/>
        <w:spacing w:before="3"/>
        <w:rPr>
          <w:rFonts w:ascii="Minion Pro" w:eastAsia="Minion Pro" w:hAnsi="Minion Pro" w:cs="Minion Pro"/>
          <w:color w:val="000000" w:themeColor="text1"/>
          <w:sz w:val="20"/>
          <w:szCs w:val="20"/>
        </w:rPr>
      </w:pPr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1</w:t>
      </w:r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Surgical Oncology Department, National Institute of Oncology, Ibn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Sina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University Hospital. Rabat, Morocco</w:t>
      </w:r>
    </w:p>
    <w:p w14:paraId="63553FCB" w14:textId="37E1A4E2" w:rsidR="00651DF4" w:rsidRPr="00651DF4" w:rsidRDefault="00651DF4" w:rsidP="00651DF4">
      <w:pPr>
        <w:pStyle w:val="BodyText"/>
        <w:spacing w:before="3"/>
        <w:rPr>
          <w:rFonts w:ascii="Minion Pro" w:eastAsia="Minion Pro" w:hAnsi="Minion Pro" w:cs="Minion Pro"/>
          <w:color w:val="000000" w:themeColor="text1"/>
          <w:sz w:val="20"/>
          <w:szCs w:val="20"/>
        </w:rPr>
      </w:pPr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2</w:t>
      </w:r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Equipe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de recherche</w:t>
      </w:r>
      <w:r w:rsidR="00A35EE1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en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Oncologie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</w:t>
      </w:r>
      <w:proofErr w:type="spellStart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>Translationnelle</w:t>
      </w:r>
      <w:proofErr w:type="spellEnd"/>
      <w:r w:rsidRPr="00651DF4">
        <w:rPr>
          <w:rFonts w:ascii="Minion Pro" w:eastAsia="Minion Pro" w:hAnsi="Minion Pro" w:cs="Minion Pro"/>
          <w:color w:val="000000" w:themeColor="text1"/>
          <w:sz w:val="20"/>
          <w:szCs w:val="20"/>
        </w:rPr>
        <w:t xml:space="preserve"> (EROT), Faculty of Medicine and Pharmacy, Mohammed V University in Rabat, Morocco</w:t>
      </w:r>
    </w:p>
    <w:p w14:paraId="52F741E0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A71AB8" w14:textId="700B5323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0962BD7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651DF4">
        <w:rPr>
          <w:rFonts w:ascii="Calibri" w:eastAsia="Tw Cen MT" w:hAnsi="Calibri" w:cs="Calibri"/>
          <w:b w:val="0"/>
          <w:bCs w:val="0"/>
          <w:sz w:val="18"/>
          <w:szCs w:val="18"/>
        </w:rPr>
        <w:t>﻿</w:t>
      </w: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Background: Pseudomyxoma peritonei (PMP) arising from the appendix is a rare entity. Complete cytoreductive</w:t>
      </w:r>
    </w:p>
    <w:p w14:paraId="4C1CC3AD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surgery (CRS) combined with hyperthermic intraperitoneal chemotherapy (HIPEC) is the only established</w:t>
      </w:r>
    </w:p>
    <w:p w14:paraId="068BA555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curative treatment, and is reputedly linked to high morbidity and mortality.</w:t>
      </w:r>
    </w:p>
    <w:p w14:paraId="36526D6B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We report, to our knowledge, the first case of delayed lethal Wernicke encephalopathy (WE) complicating CRS</w:t>
      </w:r>
    </w:p>
    <w:p w14:paraId="133C7CE9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with HIPEC for an appendicular PMP. WE, caused by a thiamine deficiency, is characterized by ataxia, nystagmus</w:t>
      </w:r>
    </w:p>
    <w:p w14:paraId="1290C4B9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and changes in consciousness.</w:t>
      </w:r>
    </w:p>
    <w:p w14:paraId="56D7AB06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Methods: A patient underwent complete CRS with HIPEC for a low grade mucinous appendicular tumor at the</w:t>
      </w:r>
    </w:p>
    <w:p w14:paraId="2AC8D967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stage of PMP with a peritoneal index of 31, and was readmitted at POD 36 for persistent vomiting and vague</w:t>
      </w:r>
    </w:p>
    <w:p w14:paraId="7648FE2F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neurological symptoms of mental confusion. The classic triad of WE appeared tardily. Although thiamine substitution was promptly applied, the patient died at POD53.</w:t>
      </w:r>
    </w:p>
    <w:p w14:paraId="694C52FF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 xml:space="preserve">Conclusion: WE </w:t>
      </w:r>
      <w:proofErr w:type="gramStart"/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is</w:t>
      </w:r>
      <w:proofErr w:type="gramEnd"/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 xml:space="preserve"> an uncommon and severe neurological disorder with a mortality rate up to 20 % and only 16 %</w:t>
      </w:r>
    </w:p>
    <w:p w14:paraId="3018FFA4" w14:textId="77777777" w:rsidR="00651DF4" w:rsidRPr="001C6C02" w:rsidRDefault="00651DF4" w:rsidP="00651DF4">
      <w:pPr>
        <w:pStyle w:val="Heading3"/>
        <w:spacing w:before="74"/>
        <w:rPr>
          <w:rFonts w:asciiTheme="minorHAnsi" w:eastAsia="Tw Cen MT" w:hAnsiTheme="minorHAnsi" w:cstheme="minorHAnsi"/>
          <w:b w:val="0"/>
          <w:bCs w:val="0"/>
          <w:sz w:val="22"/>
          <w:szCs w:val="22"/>
        </w:rPr>
      </w:pPr>
      <w:r w:rsidRPr="001C6C02">
        <w:rPr>
          <w:rFonts w:asciiTheme="minorHAnsi" w:eastAsia="Tw Cen MT" w:hAnsiTheme="minorHAnsi" w:cstheme="minorHAnsi"/>
          <w:b w:val="0"/>
          <w:bCs w:val="0"/>
          <w:sz w:val="22"/>
          <w:szCs w:val="22"/>
        </w:rPr>
        <w:t>of treated patients can fully recover. This diagnosis should always be anticipated in patients undergoing major</w:t>
      </w:r>
    </w:p>
    <w:p w14:paraId="4603C620" w14:textId="47D14C58" w:rsidR="00AE3E37" w:rsidRPr="00A35EE1" w:rsidRDefault="00651DF4" w:rsidP="00A35EE1">
      <w:pPr>
        <w:rPr>
          <w:rFonts w:ascii="Times New Roman" w:eastAsia="Times New Roman" w:hAnsi="Times New Roman" w:cs="Times New Roman"/>
          <w:sz w:val="24"/>
          <w:szCs w:val="24"/>
          <w:lang w:val="en-MA"/>
        </w:rPr>
      </w:pPr>
      <w:r w:rsidRPr="001C6C02">
        <w:rPr>
          <w:rFonts w:asciiTheme="minorHAnsi" w:hAnsiTheme="minorHAnsi" w:cstheme="minorHAnsi"/>
        </w:rPr>
        <w:t>surgery such as CRS- HIPEC. Efficient treatment should be quickly introduced in order to avoid a lethal outcome.</w:t>
      </w:r>
      <w:r w:rsidR="00A9710C">
        <w:br w:type="column"/>
      </w:r>
      <w:r w:rsidR="00A35EE1" w:rsidRPr="00A35EE1">
        <w:rPr>
          <w:rFonts w:ascii="Bookman Old Style" w:eastAsia="Times New Roman" w:hAnsi="Bookman Old Style" w:cs="Times New Roman"/>
          <w:i/>
          <w:iCs/>
          <w:color w:val="000000"/>
          <w:sz w:val="14"/>
          <w:szCs w:val="14"/>
          <w:lang w:val="en-MA"/>
        </w:rPr>
        <w:t>Figure 1 Cerebral MRI images showing hyperintense signal of the periaqueductal gray matter.</w:t>
      </w:r>
    </w:p>
    <w:p w14:paraId="6B9D384D" w14:textId="15DD214D" w:rsidR="00A35EE1" w:rsidRPr="00A35EE1" w:rsidRDefault="00A35EE1" w:rsidP="00A35EE1">
      <w:pPr>
        <w:widowControl/>
        <w:rPr>
          <w:rFonts w:ascii="Times New Roman" w:eastAsia="Times New Roman" w:hAnsi="Times New Roman" w:cs="Times New Roman"/>
          <w:sz w:val="24"/>
          <w:szCs w:val="24"/>
          <w:lang w:val="en-MA"/>
        </w:rPr>
      </w:pPr>
    </w:p>
    <w:p w14:paraId="19D49EA2" w14:textId="5F15F973" w:rsidR="00AE3E37" w:rsidRDefault="00834C1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690F9062" wp14:editId="7A4D54D9">
            <wp:extent cx="1501646" cy="1534179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265" cy="15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65AA3" w14:textId="669553B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5CD4F7FB" w14:textId="436A98FF" w:rsidR="00651DF4" w:rsidRPr="00A35EE1" w:rsidRDefault="00651DF4" w:rsidP="00A35EE1">
      <w:pPr>
        <w:tabs>
          <w:tab w:val="left" w:pos="384"/>
        </w:tabs>
        <w:ind w:right="117"/>
        <w:rPr>
          <w:sz w:val="18"/>
        </w:rPr>
      </w:pPr>
      <w:r w:rsidRPr="00A35EE1">
        <w:rPr>
          <w:sz w:val="18"/>
        </w:rPr>
        <w:t xml:space="preserve">T.C. Chua, B.J. Moran, P.H. </w:t>
      </w:r>
      <w:proofErr w:type="spellStart"/>
      <w:r w:rsidRPr="00A35EE1">
        <w:rPr>
          <w:sz w:val="18"/>
        </w:rPr>
        <w:t>Sugarbaker</w:t>
      </w:r>
      <w:proofErr w:type="spellEnd"/>
      <w:r w:rsidRPr="00A35EE1">
        <w:rPr>
          <w:sz w:val="18"/>
        </w:rPr>
        <w:t xml:space="preserve">, E.A. Levine, O. </w:t>
      </w:r>
      <w:proofErr w:type="spellStart"/>
      <w:r w:rsidRPr="00A35EE1">
        <w:rPr>
          <w:sz w:val="18"/>
        </w:rPr>
        <w:t>Glehen</w:t>
      </w:r>
      <w:proofErr w:type="spellEnd"/>
      <w:r w:rsidRPr="00A35EE1">
        <w:rPr>
          <w:sz w:val="18"/>
        </w:rPr>
        <w:t>, F.N. Gilly, et al.,</w:t>
      </w:r>
    </w:p>
    <w:p w14:paraId="63A03F31" w14:textId="53A2E330" w:rsidR="00651DF4" w:rsidRPr="00651DF4" w:rsidRDefault="00651DF4" w:rsidP="00651DF4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1DF4">
        <w:rPr>
          <w:rFonts w:ascii="Calibri" w:eastAsia="Calibri" w:hAnsi="Calibri" w:cs="Calibri"/>
          <w:sz w:val="18"/>
        </w:rPr>
        <w:t>Early-and long-term outcome data of patients with pseudomyxoma peritonei from</w:t>
      </w:r>
      <w:r w:rsidR="00A35EE1">
        <w:rPr>
          <w:rFonts w:ascii="Calibri" w:eastAsia="Calibri" w:hAnsi="Calibri" w:cs="Calibri"/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appendiceal origin treated by a strategy of cytoreductive surgery and hyperthermic</w:t>
      </w:r>
    </w:p>
    <w:p w14:paraId="15A51C6F" w14:textId="77777777" w:rsidR="00651DF4" w:rsidRPr="00651DF4" w:rsidRDefault="00651DF4" w:rsidP="00651DF4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1DF4">
        <w:rPr>
          <w:rFonts w:ascii="Calibri" w:eastAsia="Calibri" w:hAnsi="Calibri" w:cs="Calibri"/>
          <w:sz w:val="18"/>
        </w:rPr>
        <w:t>intraperitoneal chemotherapy, J. Clin. Oncol. 30 (20) (2012) 2449–2456.</w:t>
      </w:r>
    </w:p>
    <w:p w14:paraId="44B357F7" w14:textId="4DCCF6D9" w:rsidR="00651DF4" w:rsidRPr="00A35EE1" w:rsidRDefault="00651DF4" w:rsidP="00651DF4">
      <w:pPr>
        <w:tabs>
          <w:tab w:val="left" w:pos="384"/>
        </w:tabs>
        <w:ind w:right="117"/>
        <w:rPr>
          <w:sz w:val="18"/>
        </w:rPr>
      </w:pPr>
      <w:r w:rsidRPr="00A35EE1">
        <w:rPr>
          <w:sz w:val="18"/>
        </w:rPr>
        <w:t xml:space="preserve"> A. </w:t>
      </w:r>
      <w:proofErr w:type="spellStart"/>
      <w:r w:rsidRPr="00A35EE1">
        <w:rPr>
          <w:sz w:val="18"/>
        </w:rPr>
        <w:t>Souadka</w:t>
      </w:r>
      <w:proofErr w:type="spellEnd"/>
      <w:r w:rsidRPr="00A35EE1">
        <w:rPr>
          <w:sz w:val="18"/>
        </w:rPr>
        <w:t xml:space="preserve">, A. </w:t>
      </w:r>
      <w:proofErr w:type="spellStart"/>
      <w:r w:rsidRPr="00A35EE1">
        <w:rPr>
          <w:sz w:val="18"/>
        </w:rPr>
        <w:t>Benkabbou</w:t>
      </w:r>
      <w:proofErr w:type="spellEnd"/>
      <w:r w:rsidRPr="00A35EE1">
        <w:rPr>
          <w:sz w:val="18"/>
        </w:rPr>
        <w:t xml:space="preserve">, M.A. </w:t>
      </w:r>
      <w:proofErr w:type="spellStart"/>
      <w:r w:rsidRPr="00A35EE1">
        <w:rPr>
          <w:sz w:val="18"/>
        </w:rPr>
        <w:t>Majbar</w:t>
      </w:r>
      <w:proofErr w:type="spellEnd"/>
      <w:r w:rsidRPr="00A35EE1">
        <w:rPr>
          <w:sz w:val="18"/>
        </w:rPr>
        <w:t xml:space="preserve">, H. </w:t>
      </w:r>
      <w:proofErr w:type="spellStart"/>
      <w:r w:rsidRPr="00A35EE1">
        <w:rPr>
          <w:sz w:val="18"/>
        </w:rPr>
        <w:t>Essangri</w:t>
      </w:r>
      <w:proofErr w:type="spellEnd"/>
      <w:r w:rsidRPr="00A35EE1">
        <w:rPr>
          <w:sz w:val="18"/>
        </w:rPr>
        <w:t xml:space="preserve">, L. </w:t>
      </w:r>
      <w:proofErr w:type="spellStart"/>
      <w:r w:rsidRPr="00A35EE1">
        <w:rPr>
          <w:sz w:val="18"/>
        </w:rPr>
        <w:t>Amrani</w:t>
      </w:r>
      <w:proofErr w:type="spellEnd"/>
      <w:r w:rsidRPr="00A35EE1">
        <w:rPr>
          <w:sz w:val="18"/>
        </w:rPr>
        <w:t xml:space="preserve">, A. </w:t>
      </w:r>
      <w:proofErr w:type="spellStart"/>
      <w:r w:rsidRPr="00A35EE1">
        <w:rPr>
          <w:sz w:val="18"/>
        </w:rPr>
        <w:t>Ghannam</w:t>
      </w:r>
      <w:proofErr w:type="spellEnd"/>
      <w:r w:rsidRPr="00A35EE1">
        <w:rPr>
          <w:sz w:val="18"/>
        </w:rPr>
        <w:t>, et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al., CRS and HIPEC: the need for an adaptable learning curve model, J. Surg. Oncol.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122 (6) (2020 Nov) 1187–1188.</w:t>
      </w:r>
    </w:p>
    <w:p w14:paraId="56A5AC87" w14:textId="64441E71" w:rsidR="00651DF4" w:rsidRPr="00A35EE1" w:rsidRDefault="00651DF4" w:rsidP="00651DF4">
      <w:pPr>
        <w:tabs>
          <w:tab w:val="left" w:pos="384"/>
        </w:tabs>
        <w:ind w:right="117"/>
        <w:rPr>
          <w:sz w:val="18"/>
        </w:rPr>
      </w:pPr>
      <w:r w:rsidRPr="00A35EE1">
        <w:rPr>
          <w:sz w:val="18"/>
        </w:rPr>
        <w:t xml:space="preserve">A. </w:t>
      </w:r>
      <w:proofErr w:type="spellStart"/>
      <w:r w:rsidRPr="00A35EE1">
        <w:rPr>
          <w:sz w:val="18"/>
        </w:rPr>
        <w:t>Souadka</w:t>
      </w:r>
      <w:proofErr w:type="spellEnd"/>
      <w:r w:rsidRPr="00A35EE1">
        <w:rPr>
          <w:sz w:val="18"/>
        </w:rPr>
        <w:t xml:space="preserve">, H. </w:t>
      </w:r>
      <w:proofErr w:type="spellStart"/>
      <w:r w:rsidRPr="00A35EE1">
        <w:rPr>
          <w:sz w:val="18"/>
        </w:rPr>
        <w:t>Essangri</w:t>
      </w:r>
      <w:proofErr w:type="spellEnd"/>
      <w:r w:rsidRPr="00A35EE1">
        <w:rPr>
          <w:sz w:val="18"/>
        </w:rPr>
        <w:t xml:space="preserve">, N. El </w:t>
      </w:r>
      <w:proofErr w:type="spellStart"/>
      <w:r w:rsidRPr="00A35EE1">
        <w:rPr>
          <w:sz w:val="18"/>
        </w:rPr>
        <w:t>Bahaoui</w:t>
      </w:r>
      <w:proofErr w:type="spellEnd"/>
      <w:r w:rsidRPr="00A35EE1">
        <w:rPr>
          <w:sz w:val="18"/>
        </w:rPr>
        <w:t xml:space="preserve">, A. </w:t>
      </w:r>
      <w:proofErr w:type="spellStart"/>
      <w:r w:rsidRPr="00A35EE1">
        <w:rPr>
          <w:sz w:val="18"/>
        </w:rPr>
        <w:t>Ghannam</w:t>
      </w:r>
      <w:proofErr w:type="spellEnd"/>
      <w:r w:rsidRPr="00A35EE1">
        <w:rPr>
          <w:sz w:val="18"/>
        </w:rPr>
        <w:t xml:space="preserve">, B. El Ahmadi, A. </w:t>
      </w:r>
      <w:proofErr w:type="spellStart"/>
      <w:r w:rsidRPr="00A35EE1">
        <w:rPr>
          <w:sz w:val="18"/>
        </w:rPr>
        <w:t>Benkabbou</w:t>
      </w:r>
      <w:proofErr w:type="spellEnd"/>
      <w:r w:rsidRPr="00A35EE1">
        <w:rPr>
          <w:sz w:val="18"/>
        </w:rPr>
        <w:t>,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et al., CRS and HIPEC: best model of antifragility in surgical oncology, J. Surg.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Oncol. 126 (2) (2022 Aug) 396–397.</w:t>
      </w:r>
    </w:p>
    <w:p w14:paraId="32669A5A" w14:textId="3174F53B" w:rsidR="00651DF4" w:rsidRPr="00A35EE1" w:rsidRDefault="00651DF4" w:rsidP="00651DF4">
      <w:pPr>
        <w:tabs>
          <w:tab w:val="left" w:pos="384"/>
        </w:tabs>
        <w:ind w:right="117"/>
        <w:rPr>
          <w:sz w:val="18"/>
        </w:rPr>
      </w:pPr>
      <w:r w:rsidRPr="00A35EE1">
        <w:rPr>
          <w:sz w:val="18"/>
        </w:rPr>
        <w:t>Saxena, T.D. Yan, T.C. Chua, D.L. Morris, Critical assessment of risk factors for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complications after cytoreductive surgery and perioperative intraperitoneal</w:t>
      </w:r>
      <w:r w:rsidR="00A35EE1">
        <w:rPr>
          <w:sz w:val="18"/>
        </w:rPr>
        <w:t xml:space="preserve"> </w:t>
      </w:r>
      <w:r w:rsidRPr="00651DF4">
        <w:rPr>
          <w:rFonts w:ascii="Calibri" w:eastAsia="Calibri" w:hAnsi="Calibri" w:cs="Calibri"/>
          <w:sz w:val="18"/>
        </w:rPr>
        <w:t>chemotherapy for pseudomyxoma peritonei, Ann. Surg. Oncol. 17 (5) (2010 May)</w:t>
      </w:r>
    </w:p>
    <w:p w14:paraId="52E1F3FA" w14:textId="253C43AA" w:rsidR="00AE3E37" w:rsidRPr="008756E6" w:rsidRDefault="00651DF4" w:rsidP="00651DF4">
      <w:pPr>
        <w:tabs>
          <w:tab w:val="left" w:pos="384"/>
        </w:tabs>
        <w:ind w:right="117"/>
      </w:pPr>
      <w:r w:rsidRPr="00651DF4">
        <w:rPr>
          <w:rFonts w:ascii="Calibri" w:eastAsia="Calibri" w:hAnsi="Calibri" w:cs="Calibri"/>
          <w:sz w:val="18"/>
        </w:rPr>
        <w:t>1291–1301.</w:t>
      </w:r>
    </w:p>
    <w:p w14:paraId="41599A9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AF5874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8163625" wp14:editId="1727F9C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DA3CD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F44C1F6" w14:textId="77777777" w:rsidR="001C6C02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2AC5E621" w14:textId="6BD1E463" w:rsidR="00A35EE1" w:rsidRPr="001C6C02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A9EEE10" w14:textId="2BA03545" w:rsidR="00AE3E37" w:rsidRDefault="00A35EE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proofErr w:type="gramStart"/>
      <w:r>
        <w:rPr>
          <w:rFonts w:ascii="Arial"/>
          <w:sz w:val="14"/>
        </w:rPr>
        <w:t>O.Lahnaoui</w:t>
      </w:r>
      <w:proofErr w:type="spellEnd"/>
      <w:proofErr w:type="gramEnd"/>
      <w:r>
        <w:rPr>
          <w:rFonts w:ascii="Arial"/>
          <w:sz w:val="14"/>
        </w:rPr>
        <w:t xml:space="preserve"> </w:t>
      </w:r>
      <w:r w:rsidR="00217D5F">
        <w:rPr>
          <w:rFonts w:ascii="Arial"/>
          <w:sz w:val="14"/>
        </w:rPr>
        <w:t xml:space="preserve">is a chief resident in general surgery 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Through her</w:t>
      </w:r>
      <w:r w:rsidR="00217D5F">
        <w:rPr>
          <w:rFonts w:ascii="Arial"/>
          <w:sz w:val="14"/>
        </w:rPr>
        <w:t xml:space="preserve"> work in the field of patient safety, she is a firm believer in analyzing systems of healthcare and cases of surgical complications in order to discover patterns of error and contributing factors to occurrence of complications. </w:t>
      </w:r>
    </w:p>
    <w:p w14:paraId="36BBFE5B" w14:textId="77777777" w:rsidR="00A35EE1" w:rsidRPr="00A35EE1" w:rsidRDefault="00A35EE1">
      <w:pPr>
        <w:spacing w:before="62"/>
        <w:ind w:left="4217" w:right="4235"/>
        <w:jc w:val="center"/>
        <w:rPr>
          <w:rFonts w:ascii="Arial"/>
          <w:sz w:val="14"/>
        </w:rPr>
      </w:pPr>
    </w:p>
    <w:p w14:paraId="287661CE" w14:textId="77777777" w:rsidR="00A35EE1" w:rsidRPr="00A35EE1" w:rsidRDefault="00A35EE1">
      <w:pPr>
        <w:spacing w:before="62"/>
        <w:ind w:left="4217" w:right="4235"/>
        <w:jc w:val="center"/>
        <w:rPr>
          <w:rFonts w:ascii="Arial"/>
          <w:sz w:val="14"/>
        </w:rPr>
      </w:pPr>
    </w:p>
    <w:p w14:paraId="7FCB2C52" w14:textId="77777777" w:rsidR="00A35EE1" w:rsidRPr="00A35EE1" w:rsidRDefault="00A35EE1">
      <w:pPr>
        <w:spacing w:before="62"/>
        <w:ind w:left="4217" w:right="4235"/>
        <w:jc w:val="center"/>
        <w:rPr>
          <w:rFonts w:ascii="Arial"/>
          <w:sz w:val="14"/>
        </w:rPr>
      </w:pPr>
    </w:p>
    <w:p w14:paraId="5C0F2C0E" w14:textId="77777777" w:rsidR="00A35EE1" w:rsidRPr="00A35EE1" w:rsidRDefault="00A35EE1">
      <w:pPr>
        <w:spacing w:before="62"/>
        <w:ind w:left="4217" w:right="4235"/>
        <w:jc w:val="center"/>
        <w:rPr>
          <w:rFonts w:ascii="Arial"/>
          <w:sz w:val="14"/>
        </w:rPr>
      </w:pPr>
    </w:p>
    <w:p w14:paraId="776B6635" w14:textId="77777777" w:rsidR="00A35EE1" w:rsidRPr="00A35EE1" w:rsidRDefault="00A35EE1">
      <w:pPr>
        <w:spacing w:before="62"/>
        <w:ind w:left="4217" w:right="4235"/>
        <w:jc w:val="center"/>
        <w:rPr>
          <w:rFonts w:ascii="Arial"/>
          <w:sz w:val="14"/>
        </w:rPr>
      </w:pPr>
    </w:p>
    <w:p w14:paraId="2E1FA9D0" w14:textId="156A1904" w:rsidR="00AE3E37" w:rsidRPr="00A35EE1" w:rsidRDefault="00A9710C">
      <w:pPr>
        <w:spacing w:before="62"/>
        <w:ind w:left="4217" w:right="4235"/>
        <w:jc w:val="center"/>
        <w:rPr>
          <w:rFonts w:ascii="Arial"/>
          <w:sz w:val="14"/>
        </w:rPr>
      </w:pPr>
      <w:proofErr w:type="gramStart"/>
      <w:r w:rsidRPr="00A35EE1">
        <w:rPr>
          <w:rFonts w:ascii="Arial"/>
          <w:sz w:val="14"/>
        </w:rPr>
        <w:t>Email:</w:t>
      </w:r>
      <w:r w:rsidR="00651DF4" w:rsidRPr="00A35EE1">
        <w:rPr>
          <w:rFonts w:ascii="Arial"/>
          <w:sz w:val="14"/>
        </w:rPr>
        <w:t>oumaima.lahnaoui@um5s.net.ma</w:t>
      </w:r>
      <w:proofErr w:type="gramEnd"/>
    </w:p>
    <w:p w14:paraId="0FC26DC7" w14:textId="77777777" w:rsidR="00AE3E37" w:rsidRPr="00A35EE1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E01C267" wp14:editId="248BDC5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B6B7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30FA1D45" w14:textId="77777777" w:rsidR="00AE3E37" w:rsidRPr="00A35EE1" w:rsidRDefault="00AE3E37">
      <w:pPr>
        <w:pStyle w:val="BodyText"/>
        <w:rPr>
          <w:rFonts w:ascii="Arial"/>
          <w:sz w:val="20"/>
        </w:rPr>
      </w:pPr>
    </w:p>
    <w:p w14:paraId="0641BFD4" w14:textId="77777777" w:rsidR="00AE3E37" w:rsidRPr="00A35EE1" w:rsidRDefault="00AE3E37">
      <w:pPr>
        <w:pStyle w:val="BodyText"/>
        <w:rPr>
          <w:rFonts w:ascii="Arial"/>
          <w:sz w:val="20"/>
        </w:rPr>
      </w:pPr>
    </w:p>
    <w:p w14:paraId="6D77DD26" w14:textId="77777777" w:rsidR="00AE3E37" w:rsidRPr="00A35EE1" w:rsidRDefault="00AE3E37">
      <w:pPr>
        <w:rPr>
          <w:rFonts w:ascii="Minion Pro"/>
          <w:sz w:val="24"/>
        </w:rPr>
        <w:sectPr w:rsidR="00AE3E37" w:rsidRPr="00A35EE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A6BE342" w14:textId="77777777" w:rsidR="00AE3E37" w:rsidRPr="00A35EE1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RPr="00A35EE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DB7B" w14:textId="77777777" w:rsidR="00F70967" w:rsidRDefault="00F70967">
      <w:r>
        <w:separator/>
      </w:r>
    </w:p>
  </w:endnote>
  <w:endnote w:type="continuationSeparator" w:id="0">
    <w:p w14:paraId="3942FF57" w14:textId="77777777" w:rsidR="00F70967" w:rsidRDefault="00F7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1A4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D5DB9B3" wp14:editId="2FA9D70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713F0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8AC36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DB9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44713F0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8AC36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AA0613" wp14:editId="12B7D00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CAF30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DB75A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AA061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6ECAF30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DB75A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B4A789" wp14:editId="1D8C0A7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C3ABE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0A616B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4A78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4FC3ABE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0A616B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6DF8E" w14:textId="77777777" w:rsidR="00F70967" w:rsidRDefault="00F70967">
      <w:r>
        <w:separator/>
      </w:r>
    </w:p>
  </w:footnote>
  <w:footnote w:type="continuationSeparator" w:id="0">
    <w:p w14:paraId="6C452473" w14:textId="77777777" w:rsidR="00F70967" w:rsidRDefault="00F7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550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BCBD58" wp14:editId="49B8A40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93219" w14:textId="77777777" w:rsidR="00AE3E37" w:rsidRPr="00651DF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651DF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F70967">
                            <w:fldChar w:fldCharType="begin"/>
                          </w:r>
                          <w:r w:rsidR="00F70967" w:rsidRPr="00651DF4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F70967">
                            <w:fldChar w:fldCharType="separate"/>
                          </w:r>
                          <w:r w:rsidRPr="00651DF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F70967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BCBD5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20793219" w14:textId="77777777" w:rsidR="00AE3E37" w:rsidRPr="00651DF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651DF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F70967">
                      <w:fldChar w:fldCharType="begin"/>
                    </w:r>
                    <w:r w:rsidR="00F70967" w:rsidRPr="00651DF4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F70967">
                      <w:fldChar w:fldCharType="separate"/>
                    </w:r>
                    <w:r w:rsidRPr="00651DF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F70967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B7A3A59" wp14:editId="2B1D47F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244C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A04F85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A3A5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28B244C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A04F85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784070A"/>
    <w:multiLevelType w:val="hybridMultilevel"/>
    <w:tmpl w:val="AF328634"/>
    <w:lvl w:ilvl="0" w:tplc="A56E01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285982">
    <w:abstractNumId w:val="0"/>
  </w:num>
  <w:num w:numId="2" w16cid:durableId="439028475">
    <w:abstractNumId w:val="1"/>
  </w:num>
  <w:num w:numId="3" w16cid:durableId="17099856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52376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17376"/>
    <w:rsid w:val="001263DF"/>
    <w:rsid w:val="001C6C02"/>
    <w:rsid w:val="001E763C"/>
    <w:rsid w:val="00217D5F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1DF4"/>
    <w:rsid w:val="0078738A"/>
    <w:rsid w:val="00834C12"/>
    <w:rsid w:val="00873DF0"/>
    <w:rsid w:val="008756E6"/>
    <w:rsid w:val="009B2D44"/>
    <w:rsid w:val="00A07E82"/>
    <w:rsid w:val="00A35EE1"/>
    <w:rsid w:val="00A9710C"/>
    <w:rsid w:val="00AE3E37"/>
    <w:rsid w:val="00B21A57"/>
    <w:rsid w:val="00C33602"/>
    <w:rsid w:val="00CD6F55"/>
    <w:rsid w:val="00D62425"/>
    <w:rsid w:val="00DE3104"/>
    <w:rsid w:val="00F7096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7FAF77"/>
  <w15:docId w15:val="{CADB3B9A-53DF-2744-A625-03755E72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51D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5</cp:revision>
  <dcterms:created xsi:type="dcterms:W3CDTF">2023-04-05T15:11:00Z</dcterms:created>
  <dcterms:modified xsi:type="dcterms:W3CDTF">2023-04-05T15:14:00Z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