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B6832" w14:textId="4FA79FFE" w:rsidR="00AE3E37" w:rsidRDefault="000C4175" w:rsidP="00494130">
      <w:pPr>
        <w:pStyle w:val="Heading1"/>
        <w:spacing w:before="170"/>
        <w:ind w:left="0"/>
      </w:pPr>
      <w:r>
        <w:rPr>
          <w:color w:val="337AB7"/>
        </w:rPr>
        <w:t xml:space="preserve">Elevated AFP in the absence of hepatic malignancy in a patient with acute hepatitis </w:t>
      </w:r>
    </w:p>
    <w:p w14:paraId="794F2F7E" w14:textId="2FD15D74" w:rsidR="003F0CCF" w:rsidRDefault="003F0CCF" w:rsidP="003F0CCF">
      <w:pPr>
        <w:pStyle w:val="BodyText"/>
        <w:spacing w:before="73" w:line="198" w:lineRule="exact"/>
        <w:ind w:left="100" w:right="5987"/>
        <w:rPr>
          <w:rFonts w:ascii="Arial"/>
        </w:rPr>
      </w:pPr>
      <w:r>
        <w:rPr>
          <w:rFonts w:ascii="Arial"/>
        </w:rPr>
        <w:t>Jacklyn M. So-Cabahug, MD, Manila Doctors Hospital, Philippines</w:t>
      </w:r>
    </w:p>
    <w:p w14:paraId="0DFAFBFE" w14:textId="379A91D5" w:rsidR="003F0CCF" w:rsidRDefault="003F0CCF" w:rsidP="003F0CCF">
      <w:pPr>
        <w:pStyle w:val="BodyText"/>
        <w:spacing w:before="73" w:line="198" w:lineRule="exact"/>
        <w:ind w:left="100" w:right="5987"/>
        <w:rPr>
          <w:rFonts w:ascii="Arial"/>
        </w:rPr>
      </w:pPr>
      <w:r>
        <w:rPr>
          <w:rFonts w:ascii="Arial"/>
        </w:rPr>
        <w:t xml:space="preserve">Marc </w:t>
      </w:r>
      <w:proofErr w:type="spellStart"/>
      <w:r>
        <w:rPr>
          <w:rFonts w:ascii="Arial"/>
        </w:rPr>
        <w:t>Lustre</w:t>
      </w:r>
      <w:proofErr w:type="spellEnd"/>
      <w:r>
        <w:rPr>
          <w:rFonts w:ascii="Arial"/>
        </w:rPr>
        <w:t>, MD, Manila Doctors Hospital, Philippines</w:t>
      </w:r>
    </w:p>
    <w:p w14:paraId="3FD97344" w14:textId="1E8C2910" w:rsidR="003F0CCF" w:rsidRDefault="003F0CCF" w:rsidP="003F0CCF">
      <w:pPr>
        <w:pStyle w:val="BodyText"/>
        <w:spacing w:before="73" w:line="198" w:lineRule="exact"/>
        <w:ind w:left="100" w:right="5987"/>
        <w:rPr>
          <w:rFonts w:ascii="Arial"/>
        </w:rPr>
      </w:pPr>
      <w:r>
        <w:rPr>
          <w:rFonts w:ascii="Arial"/>
        </w:rPr>
        <w:t xml:space="preserve">Rafael Chan, </w:t>
      </w:r>
      <w:r>
        <w:rPr>
          <w:rFonts w:ascii="Arial"/>
        </w:rPr>
        <w:t>MD, Manila Doctors Hospital, Philippines</w:t>
      </w:r>
    </w:p>
    <w:p w14:paraId="02100AE1" w14:textId="25991587" w:rsidR="003F0CCF" w:rsidRDefault="003F0CCF" w:rsidP="003F0CCF">
      <w:pPr>
        <w:pStyle w:val="BodyText"/>
        <w:spacing w:before="73" w:line="198" w:lineRule="exact"/>
        <w:ind w:left="100" w:right="5987"/>
        <w:rPr>
          <w:rFonts w:ascii="Arial"/>
        </w:rPr>
      </w:pPr>
      <w:r>
        <w:rPr>
          <w:rFonts w:ascii="Arial"/>
        </w:rPr>
        <w:t xml:space="preserve">Janus Ong, </w:t>
      </w:r>
      <w:r>
        <w:rPr>
          <w:rFonts w:ascii="Arial"/>
        </w:rPr>
        <w:t>MD, Manila Doctors Hospital, Philippines</w:t>
      </w:r>
    </w:p>
    <w:p w14:paraId="3B1A635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E6114B5" w14:textId="17A22AA5" w:rsidR="00AE3E37" w:rsidRDefault="00A9710C">
      <w:pPr>
        <w:pStyle w:val="Heading3"/>
        <w:spacing w:before="147"/>
        <w:jc w:val="both"/>
      </w:pPr>
      <w:r>
        <w:rPr>
          <w:color w:val="BF5A14"/>
        </w:rPr>
        <w:t>Abstract</w:t>
      </w:r>
      <w:r w:rsidR="00404E5B">
        <w:rPr>
          <w:color w:val="BF5A14"/>
        </w:rPr>
        <w:t xml:space="preserve"> </w:t>
      </w:r>
    </w:p>
    <w:p w14:paraId="755F5468" w14:textId="77777777" w:rsidR="003F0CCF" w:rsidRDefault="003F0CCF" w:rsidP="003F0CCF">
      <w:pPr>
        <w:pStyle w:val="BodyText"/>
        <w:spacing w:before="90" w:line="280" w:lineRule="auto"/>
        <w:ind w:left="100"/>
        <w:jc w:val="both"/>
      </w:pPr>
      <w:r w:rsidRPr="003F0CCF">
        <w:rPr>
          <w:u w:val="single"/>
        </w:rPr>
        <w:t>Objective</w:t>
      </w:r>
      <w:r>
        <w:t>: This paper aims to describe a case of elevated AFP in a case of acute hepatitis and its pathophysiology</w:t>
      </w:r>
    </w:p>
    <w:p w14:paraId="65360514" w14:textId="77777777" w:rsidR="003F0CCF" w:rsidRDefault="003F0CCF" w:rsidP="003F0CCF">
      <w:pPr>
        <w:pStyle w:val="BodyText"/>
        <w:spacing w:before="90" w:line="280" w:lineRule="auto"/>
        <w:ind w:left="100"/>
        <w:jc w:val="both"/>
      </w:pPr>
      <w:r w:rsidRPr="003F0CCF">
        <w:rPr>
          <w:u w:val="single"/>
        </w:rPr>
        <w:t>Materials and Methods:</w:t>
      </w:r>
      <w:r>
        <w:t xml:space="preserve"> Case report</w:t>
      </w:r>
    </w:p>
    <w:p w14:paraId="646DAE4C" w14:textId="77777777" w:rsidR="003F0CCF" w:rsidRDefault="003F0CCF" w:rsidP="003F0CCF">
      <w:pPr>
        <w:pStyle w:val="BodyText"/>
        <w:spacing w:before="90" w:line="280" w:lineRule="auto"/>
        <w:ind w:left="100"/>
        <w:jc w:val="both"/>
      </w:pPr>
      <w:r w:rsidRPr="003F0CCF">
        <w:rPr>
          <w:u w:val="single"/>
        </w:rPr>
        <w:t>Results</w:t>
      </w:r>
      <w:r>
        <w:t xml:space="preserve">: The patient is a 26-year-old Asian male presenting with jaundice. He had no personal or family history of liver disease, occasional alcohol use, and drug or supplement use. The laboratory workup revealed hepatocellular type of liver injury (total bilirubin of 478 </w:t>
      </w:r>
      <w:proofErr w:type="spellStart"/>
      <w:r>
        <w:t>umol</w:t>
      </w:r>
      <w:proofErr w:type="spellEnd"/>
      <w:r>
        <w:t xml:space="preserve">/L, direct bilirubin 401 </w:t>
      </w:r>
      <w:proofErr w:type="spellStart"/>
      <w:r>
        <w:t>umol</w:t>
      </w:r>
      <w:proofErr w:type="spellEnd"/>
      <w:r>
        <w:t xml:space="preserve">/L, indirect bilirubin 77 </w:t>
      </w:r>
      <w:proofErr w:type="spellStart"/>
      <w:r>
        <w:t>umol</w:t>
      </w:r>
      <w:proofErr w:type="spellEnd"/>
      <w:r>
        <w:t>/L, AST 1135 U/L, ALT 1592 U/L, LDH 53 U/L, ALP 139 u/L), elevated AFP (3337 IU/ml), elevated INR, positive autoimmune panel (ANA, Anti-</w:t>
      </w:r>
      <w:proofErr w:type="spellStart"/>
      <w:r>
        <w:t>Sm</w:t>
      </w:r>
      <w:proofErr w:type="spellEnd"/>
      <w:r>
        <w:t>, Anti-TPO, Anti-TG). The serological examinations revealed a past infection with EBV and CMV, while imaging tests did not show ductal obstruction or the presence of mass lesions. A subsequent liver biopsy demonstrated interface hepatitis. The patient was then treated as a case of autoimmune hepatitis and was started on glucocorticoids with clinical and biochemical improvement including normalization of AFP levels.</w:t>
      </w:r>
    </w:p>
    <w:p w14:paraId="63813F2C" w14:textId="0C5FF7F2" w:rsidR="003F0CCF" w:rsidRDefault="003F0CCF" w:rsidP="003F0CCF">
      <w:pPr>
        <w:pStyle w:val="BodyText"/>
        <w:spacing w:before="90" w:line="280" w:lineRule="auto"/>
        <w:ind w:left="100"/>
        <w:jc w:val="both"/>
      </w:pPr>
      <w:r w:rsidRPr="003F0CCF">
        <w:rPr>
          <w:u w:val="single"/>
        </w:rPr>
        <w:t>Conclusion</w:t>
      </w:r>
      <w:r>
        <w:t xml:space="preserve">: This study demonstrated the low specificity of AFP as it relates to these unusually elevated levels even as compared to other studies on non-malignant cases of liver disease. In this patient with acute hepatitis, AFP elevation may represent hepatic regeneration. </w:t>
      </w:r>
    </w:p>
    <w:p w14:paraId="63E592F5" w14:textId="30BCED00" w:rsidR="003F0CCF" w:rsidRPr="003F0CCF" w:rsidRDefault="003F0CCF" w:rsidP="003F0CCF">
      <w:pPr>
        <w:pStyle w:val="BodyText"/>
        <w:spacing w:before="90" w:line="280" w:lineRule="auto"/>
        <w:ind w:left="100"/>
        <w:jc w:val="both"/>
        <w:rPr>
          <w:rFonts w:ascii="Arial" w:hAnsi="Arial" w:cs="Arial"/>
          <w:b/>
          <w:bCs/>
          <w:color w:val="E36C0A" w:themeColor="accent6" w:themeShade="BF"/>
          <w:sz w:val="20"/>
          <w:szCs w:val="20"/>
        </w:rPr>
      </w:pPr>
      <w:r w:rsidRPr="00A7628C">
        <w:rPr>
          <w:noProof/>
          <w:sz w:val="24"/>
          <w:szCs w:val="24"/>
        </w:rPr>
        <w:drawing>
          <wp:anchor distT="0" distB="0" distL="114300" distR="114300" simplePos="0" relativeHeight="251659264" behindDoc="0" locked="0" layoutInCell="1" allowOverlap="1" wp14:anchorId="615022EC" wp14:editId="0EB39EEF">
            <wp:simplePos x="0" y="0"/>
            <wp:positionH relativeFrom="column">
              <wp:posOffset>0</wp:posOffset>
            </wp:positionH>
            <wp:positionV relativeFrom="paragraph">
              <wp:posOffset>448945</wp:posOffset>
            </wp:positionV>
            <wp:extent cx="3139440" cy="1741170"/>
            <wp:effectExtent l="0" t="0" r="381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25000" t="23375" r="12019" b="14481"/>
                    <a:stretch/>
                  </pic:blipFill>
                  <pic:spPr bwMode="auto">
                    <a:xfrm>
                      <a:off x="0" y="0"/>
                      <a:ext cx="3139440" cy="1741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F0CCF">
        <w:rPr>
          <w:rFonts w:ascii="Arial" w:hAnsi="Arial" w:cs="Arial"/>
          <w:b/>
          <w:bCs/>
          <w:color w:val="E36C0A" w:themeColor="accent6" w:themeShade="BF"/>
          <w:sz w:val="20"/>
          <w:szCs w:val="20"/>
        </w:rPr>
        <w:t xml:space="preserve">Figure 1. </w:t>
      </w:r>
      <w:r w:rsidR="000C4175">
        <w:rPr>
          <w:rFonts w:ascii="Arial" w:hAnsi="Arial" w:cs="Arial"/>
          <w:b/>
          <w:bCs/>
          <w:color w:val="E36C0A" w:themeColor="accent6" w:themeShade="BF"/>
          <w:sz w:val="20"/>
          <w:szCs w:val="20"/>
        </w:rPr>
        <w:t>Trend of AFP and ALT levels in relation to steroid dosage</w:t>
      </w:r>
    </w:p>
    <w:p w14:paraId="32554338" w14:textId="0C974BA4" w:rsidR="003F0CCF" w:rsidRDefault="003F0CCF" w:rsidP="003F0CCF">
      <w:pPr>
        <w:pStyle w:val="BodyText"/>
        <w:spacing w:before="90" w:line="280" w:lineRule="auto"/>
        <w:jc w:val="both"/>
      </w:pPr>
    </w:p>
    <w:p w14:paraId="3C1FA4FF" w14:textId="713EB257" w:rsidR="00AE3E37" w:rsidRDefault="00A9710C">
      <w:pPr>
        <w:pStyle w:val="Heading3"/>
        <w:spacing w:before="74"/>
      </w:pPr>
      <w:r>
        <w:rPr>
          <w:b w:val="0"/>
        </w:rPr>
        <w:br w:type="column"/>
      </w:r>
      <w:r w:rsidR="003F0CCF">
        <w:rPr>
          <w:color w:val="BF5A14"/>
        </w:rPr>
        <w:t>Figure 2</w:t>
      </w:r>
      <w:r w:rsidR="000C4175">
        <w:rPr>
          <w:color w:val="BF5A14"/>
        </w:rPr>
        <w:t xml:space="preserve">. Timeline of intervention and outcome </w:t>
      </w:r>
    </w:p>
    <w:p w14:paraId="2509A8AC" w14:textId="59478917" w:rsidR="00AE3E37" w:rsidRDefault="00931333">
      <w:pPr>
        <w:pStyle w:val="BodyText"/>
        <w:spacing w:before="2"/>
        <w:rPr>
          <w:rFonts w:ascii="Arial"/>
          <w:b/>
          <w:sz w:val="16"/>
        </w:rPr>
      </w:pPr>
      <w:r>
        <w:rPr>
          <w:noProof/>
        </w:rPr>
        <w:drawing>
          <wp:anchor distT="0" distB="0" distL="114300" distR="114300" simplePos="0" relativeHeight="251662336" behindDoc="0" locked="0" layoutInCell="1" allowOverlap="1" wp14:anchorId="6C80E460" wp14:editId="1336E3FC">
            <wp:simplePos x="0" y="0"/>
            <wp:positionH relativeFrom="column">
              <wp:posOffset>81280</wp:posOffset>
            </wp:positionH>
            <wp:positionV relativeFrom="paragraph">
              <wp:posOffset>142240</wp:posOffset>
            </wp:positionV>
            <wp:extent cx="2994025" cy="3136900"/>
            <wp:effectExtent l="0" t="0" r="0" b="635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994025" cy="3136900"/>
                    </a:xfrm>
                    <a:prstGeom prst="rect">
                      <a:avLst/>
                    </a:prstGeom>
                  </pic:spPr>
                </pic:pic>
              </a:graphicData>
            </a:graphic>
            <wp14:sizeRelH relativeFrom="page">
              <wp14:pctWidth>0</wp14:pctWidth>
            </wp14:sizeRelH>
            <wp14:sizeRelV relativeFrom="page">
              <wp14:pctHeight>0</wp14:pctHeight>
            </wp14:sizeRelV>
          </wp:anchor>
        </w:drawing>
      </w:r>
    </w:p>
    <w:p w14:paraId="7E98A6BF" w14:textId="14D8B940" w:rsidR="005973B9" w:rsidRDefault="005973B9" w:rsidP="005973B9">
      <w:pPr>
        <w:spacing w:line="204" w:lineRule="exact"/>
        <w:rPr>
          <w:rFonts w:ascii="Arial"/>
          <w:b/>
          <w:color w:val="BF5A14"/>
          <w:sz w:val="20"/>
        </w:rPr>
      </w:pPr>
      <w:r>
        <w:rPr>
          <w:rFonts w:ascii="Arial"/>
          <w:b/>
          <w:color w:val="BF5A14"/>
          <w:sz w:val="20"/>
        </w:rPr>
        <w:br/>
      </w:r>
      <w:r w:rsidR="000C4175">
        <w:rPr>
          <w:rFonts w:ascii="Arial"/>
          <w:b/>
          <w:color w:val="BF5A14"/>
          <w:sz w:val="20"/>
        </w:rPr>
        <w:t>References</w:t>
      </w:r>
    </w:p>
    <w:p w14:paraId="64282E74" w14:textId="77777777" w:rsidR="000C4175" w:rsidRDefault="000C4175" w:rsidP="005973B9">
      <w:pPr>
        <w:spacing w:line="204" w:lineRule="exact"/>
        <w:rPr>
          <w:rFonts w:ascii="Arial"/>
          <w:b/>
          <w:sz w:val="20"/>
        </w:rPr>
      </w:pPr>
    </w:p>
    <w:p w14:paraId="00F69B42" w14:textId="77777777" w:rsidR="000C4175" w:rsidRPr="00931333" w:rsidRDefault="000C4175" w:rsidP="000C4175">
      <w:pPr>
        <w:pStyle w:val="34-SciencePG-References-content"/>
        <w:rPr>
          <w:rFonts w:eastAsia="SimSun"/>
          <w:sz w:val="16"/>
          <w:szCs w:val="16"/>
        </w:rPr>
      </w:pPr>
      <w:proofErr w:type="spellStart"/>
      <w:r w:rsidRPr="00931333">
        <w:rPr>
          <w:rFonts w:eastAsia="SimSun"/>
          <w:sz w:val="16"/>
          <w:szCs w:val="16"/>
        </w:rPr>
        <w:t>Sebode</w:t>
      </w:r>
      <w:proofErr w:type="spellEnd"/>
      <w:r w:rsidRPr="00931333">
        <w:rPr>
          <w:rFonts w:eastAsia="SimSun"/>
          <w:sz w:val="16"/>
          <w:szCs w:val="16"/>
        </w:rPr>
        <w:t xml:space="preserve">, M., </w:t>
      </w:r>
      <w:proofErr w:type="spellStart"/>
      <w:r w:rsidRPr="00931333">
        <w:rPr>
          <w:rFonts w:eastAsia="SimSun"/>
          <w:sz w:val="16"/>
          <w:szCs w:val="16"/>
        </w:rPr>
        <w:t>Hartl</w:t>
      </w:r>
      <w:proofErr w:type="spellEnd"/>
      <w:r w:rsidRPr="00931333">
        <w:rPr>
          <w:rFonts w:eastAsia="SimSun"/>
          <w:sz w:val="16"/>
          <w:szCs w:val="16"/>
        </w:rPr>
        <w:t xml:space="preserve">, J., </w:t>
      </w:r>
      <w:proofErr w:type="spellStart"/>
      <w:r w:rsidRPr="00931333">
        <w:rPr>
          <w:rFonts w:eastAsia="SimSun"/>
          <w:sz w:val="16"/>
          <w:szCs w:val="16"/>
        </w:rPr>
        <w:t>Vergani</w:t>
      </w:r>
      <w:proofErr w:type="spellEnd"/>
      <w:r w:rsidRPr="00931333">
        <w:rPr>
          <w:rFonts w:eastAsia="SimSun"/>
          <w:sz w:val="16"/>
          <w:szCs w:val="16"/>
        </w:rPr>
        <w:t xml:space="preserve">, D., &amp; Lohse, A. W. (2017). Autoimmune hepatitis: From current knowledge and clinical practice to future research agenda. Liver International, 38(1), 15–22. doi:10.1111/liv.13458 </w:t>
      </w:r>
    </w:p>
    <w:p w14:paraId="0FAEE123" w14:textId="77777777" w:rsidR="000C4175" w:rsidRPr="00931333" w:rsidRDefault="000C4175" w:rsidP="000C4175">
      <w:pPr>
        <w:pStyle w:val="34-SciencePG-References-content"/>
        <w:rPr>
          <w:rFonts w:eastAsia="SimSun"/>
          <w:sz w:val="16"/>
          <w:szCs w:val="16"/>
        </w:rPr>
      </w:pPr>
      <w:proofErr w:type="spellStart"/>
      <w:r w:rsidRPr="00931333">
        <w:rPr>
          <w:rFonts w:eastAsia="SimSun"/>
          <w:sz w:val="16"/>
          <w:szCs w:val="16"/>
        </w:rPr>
        <w:t>Hinedi</w:t>
      </w:r>
      <w:proofErr w:type="spellEnd"/>
      <w:r w:rsidRPr="00931333">
        <w:rPr>
          <w:rFonts w:eastAsia="SimSun"/>
          <w:sz w:val="16"/>
          <w:szCs w:val="16"/>
        </w:rPr>
        <w:t xml:space="preserve"> TB, </w:t>
      </w:r>
      <w:proofErr w:type="spellStart"/>
      <w:r w:rsidRPr="00931333">
        <w:rPr>
          <w:rFonts w:eastAsia="SimSun"/>
          <w:sz w:val="16"/>
          <w:szCs w:val="16"/>
        </w:rPr>
        <w:t>Koff</w:t>
      </w:r>
      <w:proofErr w:type="spellEnd"/>
      <w:r w:rsidRPr="00931333">
        <w:rPr>
          <w:rFonts w:eastAsia="SimSun"/>
          <w:sz w:val="16"/>
          <w:szCs w:val="16"/>
        </w:rPr>
        <w:t xml:space="preserve"> RS. Cholestatic hepatitis induced by Epstein-Barr virus infection in an adult. Dig Dis Sci. 2003 Mar;48(3):539-41. </w:t>
      </w:r>
      <w:proofErr w:type="spellStart"/>
      <w:r w:rsidRPr="00931333">
        <w:rPr>
          <w:rFonts w:eastAsia="SimSun"/>
          <w:sz w:val="16"/>
          <w:szCs w:val="16"/>
        </w:rPr>
        <w:t>doi</w:t>
      </w:r>
      <w:proofErr w:type="spellEnd"/>
      <w:r w:rsidRPr="00931333">
        <w:rPr>
          <w:rFonts w:eastAsia="SimSun"/>
          <w:sz w:val="16"/>
          <w:szCs w:val="16"/>
        </w:rPr>
        <w:t>: 10.1023/a:1022592801060. PMID: 12757167.</w:t>
      </w:r>
    </w:p>
    <w:p w14:paraId="42FFAAFF" w14:textId="77777777" w:rsidR="000C4175" w:rsidRPr="00931333" w:rsidRDefault="000C4175" w:rsidP="000C4175">
      <w:pPr>
        <w:pStyle w:val="34-SciencePG-References-content"/>
        <w:rPr>
          <w:rFonts w:eastAsia="SimSun"/>
          <w:sz w:val="16"/>
          <w:szCs w:val="16"/>
        </w:rPr>
      </w:pPr>
      <w:r w:rsidRPr="00931333">
        <w:rPr>
          <w:rFonts w:eastAsia="SimSun"/>
          <w:sz w:val="16"/>
          <w:szCs w:val="16"/>
        </w:rPr>
        <w:t xml:space="preserve">Modesto Dos Santos V, Da Costa Arruda Z Jr, De Farias </w:t>
      </w:r>
      <w:proofErr w:type="spellStart"/>
      <w:r w:rsidRPr="00931333">
        <w:rPr>
          <w:rFonts w:eastAsia="SimSun"/>
          <w:sz w:val="16"/>
          <w:szCs w:val="16"/>
        </w:rPr>
        <w:t>Polcheira</w:t>
      </w:r>
      <w:proofErr w:type="spellEnd"/>
      <w:r w:rsidRPr="00931333">
        <w:rPr>
          <w:rFonts w:eastAsia="SimSun"/>
          <w:sz w:val="16"/>
          <w:szCs w:val="16"/>
        </w:rPr>
        <w:t xml:space="preserve"> M, Da Silva De Souza DW, Rodrigues Oliveira Santos AM, Santos </w:t>
      </w:r>
      <w:proofErr w:type="spellStart"/>
      <w:r w:rsidRPr="00931333">
        <w:rPr>
          <w:rFonts w:eastAsia="SimSun"/>
          <w:sz w:val="16"/>
          <w:szCs w:val="16"/>
        </w:rPr>
        <w:t>Corrêa</w:t>
      </w:r>
      <w:proofErr w:type="spellEnd"/>
      <w:r w:rsidRPr="00931333">
        <w:rPr>
          <w:rFonts w:eastAsia="SimSun"/>
          <w:sz w:val="16"/>
          <w:szCs w:val="16"/>
        </w:rPr>
        <w:t xml:space="preserve"> </w:t>
      </w:r>
      <w:proofErr w:type="gramStart"/>
      <w:r w:rsidRPr="00931333">
        <w:rPr>
          <w:rFonts w:eastAsia="SimSun"/>
          <w:sz w:val="16"/>
          <w:szCs w:val="16"/>
        </w:rPr>
        <w:t>Da</w:t>
      </w:r>
      <w:proofErr w:type="gramEnd"/>
      <w:r w:rsidRPr="00931333">
        <w:rPr>
          <w:rFonts w:eastAsia="SimSun"/>
          <w:sz w:val="16"/>
          <w:szCs w:val="16"/>
        </w:rPr>
        <w:t xml:space="preserve"> Costa M. Hepatitis </w:t>
      </w:r>
      <w:proofErr w:type="spellStart"/>
      <w:r w:rsidRPr="00931333">
        <w:rPr>
          <w:rFonts w:eastAsia="SimSun"/>
          <w:sz w:val="16"/>
          <w:szCs w:val="16"/>
        </w:rPr>
        <w:t>aguda</w:t>
      </w:r>
      <w:proofErr w:type="spellEnd"/>
      <w:r w:rsidRPr="00931333">
        <w:rPr>
          <w:rFonts w:eastAsia="SimSun"/>
          <w:sz w:val="16"/>
          <w:szCs w:val="16"/>
        </w:rPr>
        <w:t xml:space="preserve"> por mononucleosis </w:t>
      </w:r>
      <w:proofErr w:type="spellStart"/>
      <w:r w:rsidRPr="00931333">
        <w:rPr>
          <w:rFonts w:eastAsia="SimSun"/>
          <w:sz w:val="16"/>
          <w:szCs w:val="16"/>
        </w:rPr>
        <w:t>infecciosa</w:t>
      </w:r>
      <w:proofErr w:type="spellEnd"/>
      <w:r w:rsidRPr="00931333">
        <w:rPr>
          <w:rFonts w:eastAsia="SimSun"/>
          <w:sz w:val="16"/>
          <w:szCs w:val="16"/>
        </w:rPr>
        <w:t xml:space="preserve"> </w:t>
      </w:r>
      <w:proofErr w:type="spellStart"/>
      <w:r w:rsidRPr="00931333">
        <w:rPr>
          <w:rFonts w:eastAsia="SimSun"/>
          <w:sz w:val="16"/>
          <w:szCs w:val="16"/>
        </w:rPr>
        <w:t>en</w:t>
      </w:r>
      <w:proofErr w:type="spellEnd"/>
      <w:r w:rsidRPr="00931333">
        <w:rPr>
          <w:rFonts w:eastAsia="SimSun"/>
          <w:sz w:val="16"/>
          <w:szCs w:val="16"/>
        </w:rPr>
        <w:t xml:space="preserve"> un </w:t>
      </w:r>
      <w:proofErr w:type="spellStart"/>
      <w:r w:rsidRPr="00931333">
        <w:rPr>
          <w:rFonts w:eastAsia="SimSun"/>
          <w:sz w:val="16"/>
          <w:szCs w:val="16"/>
        </w:rPr>
        <w:t>varón</w:t>
      </w:r>
      <w:proofErr w:type="spellEnd"/>
      <w:r w:rsidRPr="00931333">
        <w:rPr>
          <w:rFonts w:eastAsia="SimSun"/>
          <w:sz w:val="16"/>
          <w:szCs w:val="16"/>
        </w:rPr>
        <w:t xml:space="preserve"> de 21 </w:t>
      </w:r>
      <w:proofErr w:type="spellStart"/>
      <w:r w:rsidRPr="00931333">
        <w:rPr>
          <w:rFonts w:eastAsia="SimSun"/>
          <w:sz w:val="16"/>
          <w:szCs w:val="16"/>
        </w:rPr>
        <w:t>años</w:t>
      </w:r>
      <w:proofErr w:type="spellEnd"/>
      <w:r w:rsidRPr="00931333">
        <w:rPr>
          <w:rFonts w:eastAsia="SimSun"/>
          <w:sz w:val="16"/>
          <w:szCs w:val="16"/>
        </w:rPr>
        <w:t xml:space="preserve"> [Acute hepatitis due to infectious mononucleosis in a 21-year-old-man]. Rev Med </w:t>
      </w:r>
      <w:proofErr w:type="spellStart"/>
      <w:r w:rsidRPr="00931333">
        <w:rPr>
          <w:rFonts w:eastAsia="SimSun"/>
          <w:sz w:val="16"/>
          <w:szCs w:val="16"/>
        </w:rPr>
        <w:t>Chil</w:t>
      </w:r>
      <w:proofErr w:type="spellEnd"/>
      <w:r w:rsidRPr="00931333">
        <w:rPr>
          <w:rFonts w:eastAsia="SimSun"/>
          <w:sz w:val="16"/>
          <w:szCs w:val="16"/>
        </w:rPr>
        <w:t xml:space="preserve">. 2013 Jul;141(7):917-21. Spanish. </w:t>
      </w:r>
      <w:proofErr w:type="spellStart"/>
      <w:r w:rsidRPr="00931333">
        <w:rPr>
          <w:rFonts w:eastAsia="SimSun"/>
          <w:sz w:val="16"/>
          <w:szCs w:val="16"/>
        </w:rPr>
        <w:t>doi</w:t>
      </w:r>
      <w:proofErr w:type="spellEnd"/>
      <w:r w:rsidRPr="00931333">
        <w:rPr>
          <w:rFonts w:eastAsia="SimSun"/>
          <w:sz w:val="16"/>
          <w:szCs w:val="16"/>
        </w:rPr>
        <w:t>: 10.4067/S0034-98872013000700012. PMID: 24356741.</w:t>
      </w:r>
    </w:p>
    <w:p w14:paraId="47679FBA" w14:textId="77777777" w:rsidR="000C4175" w:rsidRPr="00931333" w:rsidRDefault="000C4175" w:rsidP="000C4175">
      <w:pPr>
        <w:pStyle w:val="34-SciencePG-References-content"/>
        <w:rPr>
          <w:rFonts w:eastAsia="SimSun"/>
          <w:sz w:val="16"/>
          <w:szCs w:val="16"/>
        </w:rPr>
      </w:pPr>
      <w:proofErr w:type="spellStart"/>
      <w:r w:rsidRPr="00931333">
        <w:rPr>
          <w:rFonts w:eastAsia="SimSun"/>
          <w:sz w:val="16"/>
          <w:szCs w:val="16"/>
        </w:rPr>
        <w:t>Saadah</w:t>
      </w:r>
      <w:proofErr w:type="spellEnd"/>
      <w:r w:rsidRPr="00931333">
        <w:rPr>
          <w:rFonts w:eastAsia="SimSun"/>
          <w:sz w:val="16"/>
          <w:szCs w:val="16"/>
        </w:rPr>
        <w:t xml:space="preserve">, O. I., &amp; </w:t>
      </w:r>
      <w:proofErr w:type="spellStart"/>
      <w:r w:rsidRPr="00931333">
        <w:rPr>
          <w:rFonts w:eastAsia="SimSun"/>
          <w:sz w:val="16"/>
          <w:szCs w:val="16"/>
        </w:rPr>
        <w:t>Bokhary</w:t>
      </w:r>
      <w:proofErr w:type="spellEnd"/>
      <w:r w:rsidRPr="00931333">
        <w:rPr>
          <w:rFonts w:eastAsia="SimSun"/>
          <w:sz w:val="16"/>
          <w:szCs w:val="16"/>
        </w:rPr>
        <w:t>, R. Y. (2013). Anti-mitochondrial antibody positive autoimmune hepatitis triggered by EBV infection in a young girl. Arab Journal of Gastroenterology, 14(3), 130–132.</w:t>
      </w:r>
    </w:p>
    <w:p w14:paraId="5B4B16A0" w14:textId="473495E7" w:rsidR="00AE3E37" w:rsidRPr="00931333" w:rsidRDefault="000C4175" w:rsidP="000C4175">
      <w:pPr>
        <w:pStyle w:val="34-SciencePG-References-content"/>
        <w:rPr>
          <w:rFonts w:eastAsia="SimSun"/>
          <w:sz w:val="16"/>
          <w:szCs w:val="16"/>
        </w:rPr>
      </w:pPr>
      <w:r w:rsidRPr="00931333">
        <w:rPr>
          <w:rFonts w:eastAsia="SimSun"/>
          <w:sz w:val="16"/>
          <w:szCs w:val="16"/>
        </w:rPr>
        <w:t>Peng, H., Lim, T., Nam, J., &amp; Lee, J. (2019). Autoimmune hepatitis following Epstein-Barr virus infection: a diagnostic dilemma. BMJ Case Reports, 12(7), e229615. doi:10.1136/bcr-2019-229615</w:t>
      </w:r>
    </w:p>
    <w:p w14:paraId="6AAFDF39" w14:textId="70765ADA"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8138B82" w14:textId="14882E69" w:rsidR="00AE3E37" w:rsidRPr="00D62425" w:rsidRDefault="00D62425">
      <w:pPr>
        <w:pStyle w:val="BodyText"/>
        <w:rPr>
          <w:rFonts w:ascii="Calibri"/>
          <w:b/>
          <w:sz w:val="20"/>
        </w:rPr>
      </w:pPr>
      <w:r>
        <w:rPr>
          <w:rFonts w:ascii="Calibri"/>
          <w:sz w:val="20"/>
        </w:rPr>
        <w:t xml:space="preserve">               </w:t>
      </w:r>
    </w:p>
    <w:p w14:paraId="6EF3C267" w14:textId="3D3F165A" w:rsidR="00AE3E37" w:rsidRPr="000C4175" w:rsidRDefault="00292ED9" w:rsidP="000C4175">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6C24212" wp14:editId="756D94E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66C07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ADBB52F" w14:textId="11E15DB8" w:rsidR="00AE3E37" w:rsidRPr="000C4175" w:rsidRDefault="00A9710C" w:rsidP="000C4175">
      <w:pPr>
        <w:spacing w:before="62"/>
        <w:ind w:left="4217" w:right="4235"/>
        <w:jc w:val="center"/>
        <w:rPr>
          <w:rFonts w:ascii="Arial"/>
          <w:sz w:val="14"/>
        </w:rPr>
      </w:pPr>
      <w:r>
        <w:rPr>
          <w:rFonts w:ascii="Arial"/>
          <w:sz w:val="14"/>
        </w:rPr>
        <w:t>Email:</w:t>
      </w:r>
      <w:r w:rsidR="000C4175">
        <w:rPr>
          <w:rFonts w:ascii="Arial"/>
          <w:sz w:val="14"/>
        </w:rPr>
        <w:t xml:space="preserve"> </w:t>
      </w:r>
      <w:hyperlink r:id="rId11" w:history="1">
        <w:r w:rsidR="000C4175" w:rsidRPr="009D2E9A">
          <w:rPr>
            <w:rStyle w:val="Hyperlink"/>
            <w:rFonts w:ascii="Arial"/>
            <w:sz w:val="14"/>
          </w:rPr>
          <w:t>jacklynmso@gmail.com</w:t>
        </w:r>
      </w:hyperlink>
      <w:r w:rsidR="000C4175">
        <w:rPr>
          <w:rFonts w:ascii="Arial"/>
          <w:sz w:val="14"/>
        </w:rPr>
        <w:t xml:space="preserve">  </w:t>
      </w:r>
    </w:p>
    <w:p w14:paraId="106998C9" w14:textId="2641BC64" w:rsidR="00AE3E37" w:rsidRPr="00931333" w:rsidRDefault="00A9710C" w:rsidP="00931333">
      <w:pPr>
        <w:spacing w:before="39"/>
        <w:rPr>
          <w:rFonts w:ascii="Minion Pro"/>
          <w:b/>
          <w:sz w:val="20"/>
        </w:rPr>
        <w:sectPr w:rsidR="00AE3E37" w:rsidRPr="00931333">
          <w:type w:val="continuous"/>
          <w:pgSz w:w="11910" w:h="16840"/>
          <w:pgMar w:top="1740" w:right="600" w:bottom="840" w:left="620" w:header="720" w:footer="720" w:gutter="0"/>
          <w:cols w:space="720"/>
        </w:sectPr>
      </w:pPr>
      <w:r w:rsidRPr="00B21A57">
        <w:rPr>
          <w:rFonts w:ascii="Minion Pro"/>
          <w:b/>
          <w:sz w:val="20"/>
        </w:rPr>
        <w:t>Notes/Comme</w:t>
      </w:r>
      <w:r w:rsidR="00931333">
        <w:rPr>
          <w:rFonts w:ascii="Minion Pro"/>
          <w:b/>
          <w:sz w:val="20"/>
        </w:rPr>
        <w:t>nts</w:t>
      </w:r>
    </w:p>
    <w:p w14:paraId="3E171FE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CBD0A" w14:textId="77777777" w:rsidR="00C862E7" w:rsidRDefault="00C862E7">
      <w:r>
        <w:separator/>
      </w:r>
    </w:p>
  </w:endnote>
  <w:endnote w:type="continuationSeparator" w:id="0">
    <w:p w14:paraId="10D0B40C" w14:textId="77777777" w:rsidR="00C862E7" w:rsidRDefault="00C86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751C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AEC1875" wp14:editId="7E7338A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CD6A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2475A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EC187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ADCD6A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2475A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5529F44" wp14:editId="6DB4B9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D870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B25A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29F4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4F7D870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B25A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947414F" wp14:editId="4DA15B0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3FC0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C91AD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7414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C63FC0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C91AD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4319C" w14:textId="77777777" w:rsidR="00C862E7" w:rsidRDefault="00C862E7">
      <w:r>
        <w:separator/>
      </w:r>
    </w:p>
  </w:footnote>
  <w:footnote w:type="continuationSeparator" w:id="0">
    <w:p w14:paraId="56631959" w14:textId="77777777" w:rsidR="00C862E7" w:rsidRDefault="00C86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AAEA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D54D2B0" wp14:editId="3A23B3C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DE18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4D2B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422DE18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6B5C812" wp14:editId="06C9130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DF3C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8E90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5C81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14DF3C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8E90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16CB"/>
    <w:multiLevelType w:val="hybridMultilevel"/>
    <w:tmpl w:val="295E7894"/>
    <w:lvl w:ilvl="0" w:tplc="B45E1EA0">
      <w:start w:val="1"/>
      <w:numFmt w:val="decimal"/>
      <w:pStyle w:val="34-SciencePG-References-content"/>
      <w:lvlText w:val="[%1]"/>
      <w:lvlJc w:val="left"/>
      <w:pPr>
        <w:tabs>
          <w:tab w:val="num" w:pos="420"/>
        </w:tabs>
        <w:ind w:left="420" w:hanging="420"/>
      </w:pPr>
      <w:rPr>
        <w:rFonts w:ascii="Times New Roman" w:hAnsi="Times New Roman" w:hint="default"/>
        <w:b w:val="0"/>
        <w:i w:val="0"/>
        <w:color w:val="auto"/>
        <w:sz w:val="18"/>
        <w:szCs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C4175"/>
    <w:rsid w:val="000E2911"/>
    <w:rsid w:val="001263DF"/>
    <w:rsid w:val="001E763C"/>
    <w:rsid w:val="00292ED9"/>
    <w:rsid w:val="00314AFB"/>
    <w:rsid w:val="003B76D9"/>
    <w:rsid w:val="003F0CCF"/>
    <w:rsid w:val="00404E5B"/>
    <w:rsid w:val="00414F7B"/>
    <w:rsid w:val="004355DC"/>
    <w:rsid w:val="004749B4"/>
    <w:rsid w:val="00494130"/>
    <w:rsid w:val="004F3523"/>
    <w:rsid w:val="005973B9"/>
    <w:rsid w:val="005B3A56"/>
    <w:rsid w:val="006060CE"/>
    <w:rsid w:val="0063497F"/>
    <w:rsid w:val="0078738A"/>
    <w:rsid w:val="00873DF0"/>
    <w:rsid w:val="008756E6"/>
    <w:rsid w:val="00931333"/>
    <w:rsid w:val="009B2D44"/>
    <w:rsid w:val="00A07E82"/>
    <w:rsid w:val="00A9710C"/>
    <w:rsid w:val="00AE3E37"/>
    <w:rsid w:val="00B21A57"/>
    <w:rsid w:val="00C33602"/>
    <w:rsid w:val="00C862E7"/>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25436"/>
  <w15:docId w15:val="{18B29549-9671-49DF-9584-5193D029C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C4175"/>
    <w:rPr>
      <w:color w:val="605E5C"/>
      <w:shd w:val="clear" w:color="auto" w:fill="E1DFDD"/>
    </w:rPr>
  </w:style>
  <w:style w:type="paragraph" w:customStyle="1" w:styleId="34-SciencePG-References-content">
    <w:name w:val="34-SciencePG-References-content"/>
    <w:basedOn w:val="Normal"/>
    <w:qFormat/>
    <w:rsid w:val="000C4175"/>
    <w:pPr>
      <w:numPr>
        <w:numId w:val="4"/>
      </w:numPr>
      <w:adjustRightInd w:val="0"/>
      <w:snapToGrid w:val="0"/>
      <w:spacing w:after="160" w:line="200" w:lineRule="exact"/>
      <w:jc w:val="both"/>
    </w:pPr>
    <w:rPr>
      <w:rFonts w:ascii="Times New Roman" w:eastAsia="Times New Roman" w:hAnsi="Times New Roman" w:cs="Times New Roman"/>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cklynmso@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Jacklyn</cp:lastModifiedBy>
  <cp:revision>5</cp:revision>
  <dcterms:created xsi:type="dcterms:W3CDTF">2016-08-31T13:10:00Z</dcterms:created>
  <dcterms:modified xsi:type="dcterms:W3CDTF">2022-01-22T13:16:00Z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