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Clinical Reviews and Opinions Vol. 3(2), pp. 14-19, February 2011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Available online http://www.academicjournals.org/cro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ISSN 2141-2553 ©2011 Academic Journals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8"/>
          <w:szCs w:val="18"/>
        </w:rPr>
      </w:pP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r>
        <w:rPr>
          <w:rFonts w:ascii="Helvetica-Bold" w:hAnsi="Helvetica-Bold" w:cs="Helvetica-Bold"/>
          <w:b/>
          <w:bCs/>
          <w:sz w:val="40"/>
          <w:szCs w:val="40"/>
        </w:rPr>
        <w:t>Clinicoepidemiological study in Sudanese patients: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r>
        <w:rPr>
          <w:rFonts w:ascii="Helvetica-Bold" w:hAnsi="Helvetica-Bold" w:cs="Helvetica-Bold"/>
          <w:b/>
          <w:bCs/>
          <w:sz w:val="40"/>
          <w:szCs w:val="40"/>
        </w:rPr>
        <w:t>Prevalence and effect of eradicative triple therapy on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proofErr w:type="gramStart"/>
      <w:r>
        <w:rPr>
          <w:rFonts w:ascii="Helvetica-Bold" w:hAnsi="Helvetica-Bold" w:cs="Helvetica-Bold"/>
          <w:b/>
          <w:bCs/>
          <w:sz w:val="40"/>
          <w:szCs w:val="40"/>
        </w:rPr>
        <w:t>extra</w:t>
      </w:r>
      <w:proofErr w:type="gramEnd"/>
      <w:r>
        <w:rPr>
          <w:rFonts w:ascii="Helvetica-Bold" w:hAnsi="Helvetica-Bold" w:cs="Helvetica-Bold"/>
          <w:b/>
          <w:bCs/>
          <w:sz w:val="40"/>
          <w:szCs w:val="40"/>
        </w:rPr>
        <w:t xml:space="preserve"> digestive </w:t>
      </w:r>
      <w:r>
        <w:rPr>
          <w:rFonts w:ascii="Helvetica-BoldOblique" w:hAnsi="Helvetica-BoldOblique" w:cs="Helvetica-BoldOblique"/>
          <w:b/>
          <w:bCs/>
          <w:i/>
          <w:iCs/>
          <w:sz w:val="40"/>
          <w:szCs w:val="40"/>
        </w:rPr>
        <w:t xml:space="preserve">Helicobacter pylori </w:t>
      </w:r>
      <w:r>
        <w:rPr>
          <w:rFonts w:ascii="Helvetica-Bold" w:hAnsi="Helvetica-Bold" w:cs="Helvetica-Bold"/>
          <w:b/>
          <w:bCs/>
          <w:sz w:val="40"/>
          <w:szCs w:val="40"/>
        </w:rPr>
        <w:t>skin manifestations,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40"/>
          <w:szCs w:val="40"/>
        </w:rPr>
      </w:pPr>
      <w:r>
        <w:rPr>
          <w:rFonts w:ascii="Helvetica-Bold" w:hAnsi="Helvetica-Bold" w:cs="Helvetica-Bold"/>
          <w:b/>
          <w:bCs/>
          <w:sz w:val="40"/>
          <w:szCs w:val="40"/>
        </w:rPr>
        <w:t>EdHpSm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16"/>
          <w:szCs w:val="16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Bashir A. H. H.</w:t>
      </w:r>
      <w:r>
        <w:rPr>
          <w:rFonts w:ascii="Helvetica-Bold" w:hAnsi="Helvetica-Bold" w:cs="Helvetica-Bold"/>
          <w:b/>
          <w:bCs/>
          <w:sz w:val="16"/>
          <w:szCs w:val="16"/>
        </w:rPr>
        <w:t>1</w:t>
      </w:r>
      <w:proofErr w:type="gramStart"/>
      <w:r>
        <w:rPr>
          <w:rFonts w:ascii="Helvetica-Bold" w:hAnsi="Helvetica-Bold" w:cs="Helvetica-Bold"/>
          <w:b/>
          <w:bCs/>
          <w:sz w:val="16"/>
          <w:szCs w:val="16"/>
        </w:rPr>
        <w:t>,2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*, Yousif S. M.</w:t>
      </w:r>
      <w:r>
        <w:rPr>
          <w:rFonts w:ascii="Helvetica-Bold" w:hAnsi="Helvetica-Bold" w:cs="Helvetica-Bold"/>
          <w:b/>
          <w:bCs/>
          <w:sz w:val="16"/>
          <w:szCs w:val="16"/>
        </w:rPr>
        <w:t xml:space="preserve">2 </w:t>
      </w:r>
      <w:r>
        <w:rPr>
          <w:rFonts w:ascii="Helvetica-Bold" w:hAnsi="Helvetica-Bold" w:cs="Helvetica-Bold"/>
          <w:b/>
          <w:bCs/>
          <w:sz w:val="24"/>
          <w:szCs w:val="24"/>
        </w:rPr>
        <w:t>and Mahmoud M. O. A.</w:t>
      </w:r>
      <w:r>
        <w:rPr>
          <w:rFonts w:ascii="Helvetica-Bold" w:hAnsi="Helvetica-Bold" w:cs="Helvetica-Bold"/>
          <w:b/>
          <w:bCs/>
          <w:sz w:val="16"/>
          <w:szCs w:val="16"/>
        </w:rPr>
        <w:t>2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13"/>
          <w:szCs w:val="13"/>
        </w:rPr>
        <w:t>1</w:t>
      </w:r>
      <w:r>
        <w:rPr>
          <w:rFonts w:ascii="Helvetica" w:hAnsi="Helvetica" w:cs="Helvetica"/>
          <w:sz w:val="20"/>
          <w:szCs w:val="20"/>
        </w:rPr>
        <w:t>Department of Dermatology and Venereology, Al Jawda Medical Centre, University of Juba,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P. O. Box 1347, Khartoum, Sudan.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20"/>
          <w:szCs w:val="20"/>
        </w:rPr>
      </w:pPr>
      <w:proofErr w:type="gramStart"/>
      <w:r>
        <w:rPr>
          <w:rFonts w:ascii="Helvetica" w:hAnsi="Helvetica" w:cs="Helvetica"/>
          <w:sz w:val="13"/>
          <w:szCs w:val="13"/>
        </w:rPr>
        <w:t>2</w:t>
      </w:r>
      <w:r>
        <w:rPr>
          <w:rFonts w:ascii="Helvetica" w:hAnsi="Helvetica" w:cs="Helvetica"/>
          <w:sz w:val="20"/>
          <w:szCs w:val="20"/>
        </w:rPr>
        <w:t>Khartoum College of Medical Science, Jabir AbuEliz Diabetic Centre, Sudan.</w:t>
      </w:r>
      <w:proofErr w:type="gramEnd"/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Accepted 30 December, 2010</w:t>
      </w:r>
    </w:p>
    <w:p w:rsidR="00044E91" w:rsidRDefault="00044E91" w:rsidP="00044E91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sz w:val="16"/>
          <w:szCs w:val="16"/>
        </w:rPr>
      </w:pP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Helicobacter pylori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>are gram-negative; microaerophilic spiral rod-shaped bacteria and they lead to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gastritis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>, duodenal or gastric ulcer and even in rare cases to gastric carcinoma or Mucosa Associated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Lymphoid Tissue (MALT) lymphoma.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Based on a number of reports, a possible relationship of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>H. pylori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infection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to a variety of different dermatosis has been suggested, including urticaria, rosacea, acnerosacea,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atopic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dermatitis, alopecia areata, Sjögren’s syndrome, Schönlein-Henoch purpura, and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Sweet’s syndrome.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This study is intended to identify the prevalence of extra digestive (extra gastric)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>H.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>pylori</w:t>
      </w:r>
      <w:proofErr w:type="gramEnd"/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skin manifestations, and to observe the influence of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>eradication through triple therapy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on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the clinical evolution of patients' skin conditions. A clinical descriptive study of 149 patients with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skin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manifestations and immunologically detected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>by rapid test, in association with gastric,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chest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, joints and nasal symptoms were considered as study population.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>(Hp) triple therapy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have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been given to all positive cases as first, second and relapse modality in 12 weeks duration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treatment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>, 4 weeks interval each with no any added other type of treatment allowed. The study revealed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that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: 20.5% of the skin cases examined (3723) were considered extradigestive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>skin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manifestation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(746). Most of the skin manifestations cases were females (67.1%), and approximately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 w:rsidRPr="00044E91">
        <w:rPr>
          <w:rFonts w:ascii="Helvetica-Bold" w:hAnsi="Helvetica-Bold" w:cs="Helvetica-Bold"/>
          <w:b/>
          <w:bCs/>
          <w:sz w:val="20"/>
          <w:szCs w:val="20"/>
        </w:rPr>
        <w:t>60.4% of EdHpSm were at the age group 14 to 45 yr- old. Most of the patients with EdHpSm are of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 w:rsidRPr="00044E91">
        <w:rPr>
          <w:rFonts w:ascii="Helvetica-Bold" w:hAnsi="Helvetica-Bold" w:cs="Helvetica-Bold"/>
          <w:b/>
          <w:bCs/>
          <w:sz w:val="20"/>
          <w:szCs w:val="20"/>
        </w:rPr>
        <w:t>Northern Sudanese origin (87.2%), the Southerners, the Easterners and the Westerners showed lower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percentages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>, that is, 1.3, 3.4 and 8.1%, respectively. EdHpSm is common among professional. Hay fever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and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gingival disease were among the most commonly associated diseases where they represented ca.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27.7 </w:t>
      </w: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and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12.2%, respectively. Chronic Idiopathic Urticaria, CIU represent a higher prevalence (20.6%),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where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>: Polymorphous Light Eruption (PLE) alone represented 12.7%, and Polycystic Ovary Syndrome,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 w:rsidRPr="00044E91">
        <w:rPr>
          <w:rFonts w:ascii="Helvetica-Bold" w:hAnsi="Helvetica-Bold" w:cs="Helvetica-Bold"/>
          <w:b/>
          <w:bCs/>
          <w:sz w:val="20"/>
          <w:szCs w:val="20"/>
        </w:rPr>
        <w:t>PCO was 11.6%. Vitiligo 2.6% among the least presented cases. Consequently, it was concluded that: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all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cases of EdHpSm responded to triple therapy; 60.0% are of good response and 37.0% are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dramatically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responded to triple therapy, while 2.0% poorly responded to therapy. </w:t>
      </w:r>
      <w:r w:rsidRPr="00044E91">
        <w:rPr>
          <w:rFonts w:ascii="Helvetica-BoldOblique" w:hAnsi="Helvetica-BoldOblique" w:cs="Helvetica-BoldOblique"/>
          <w:b/>
          <w:bCs/>
          <w:i/>
          <w:iCs/>
          <w:sz w:val="20"/>
          <w:szCs w:val="20"/>
        </w:rPr>
        <w:t xml:space="preserve">H. pylori </w:t>
      </w:r>
      <w:r w:rsidRPr="00044E91">
        <w:rPr>
          <w:rFonts w:ascii="Helvetica-Bold" w:hAnsi="Helvetica-Bold" w:cs="Helvetica-Bold"/>
          <w:b/>
          <w:bCs/>
          <w:sz w:val="20"/>
          <w:szCs w:val="20"/>
        </w:rPr>
        <w:t>infection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found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to have an important role in the etiology of chronic idiopathic urticaria, Urticarial vasculitis, and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 w:rsidRPr="00044E91">
        <w:rPr>
          <w:rFonts w:ascii="Helvetica-Bold" w:hAnsi="Helvetica-Bold" w:cs="Helvetica-Bold"/>
          <w:b/>
          <w:bCs/>
          <w:sz w:val="20"/>
          <w:szCs w:val="20"/>
        </w:rPr>
        <w:t>Atopic dermatitis and other skin diseases. Patients received antimicrobial triple therapy, found to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proofErr w:type="gramStart"/>
      <w:r w:rsidRPr="00044E91">
        <w:rPr>
          <w:rFonts w:ascii="Helvetica-Bold" w:hAnsi="Helvetica-Bold" w:cs="Helvetica-Bold"/>
          <w:b/>
          <w:bCs/>
          <w:sz w:val="20"/>
          <w:szCs w:val="20"/>
        </w:rPr>
        <w:t>respond</w:t>
      </w:r>
      <w:proofErr w:type="gramEnd"/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 dramatically in (37%).</w:t>
      </w:r>
    </w:p>
    <w:p w:rsidR="00044E91" w:rsidRPr="00044E91" w:rsidRDefault="00044E91" w:rsidP="00044E9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563ED1" w:rsidRPr="00044E91" w:rsidRDefault="00044E91" w:rsidP="00044E91">
      <w:pPr>
        <w:rPr>
          <w:sz w:val="20"/>
          <w:szCs w:val="20"/>
        </w:rPr>
      </w:pPr>
      <w:r w:rsidRPr="00044E91">
        <w:rPr>
          <w:rFonts w:ascii="Helvetica-Bold" w:hAnsi="Helvetica-Bold" w:cs="Helvetica-Bold"/>
          <w:b/>
          <w:bCs/>
          <w:sz w:val="20"/>
          <w:szCs w:val="20"/>
        </w:rPr>
        <w:t xml:space="preserve">Key words: </w:t>
      </w:r>
      <w:r w:rsidRPr="00044E91">
        <w:rPr>
          <w:rFonts w:ascii="Helvetica" w:hAnsi="Helvetica" w:cs="Helvetica"/>
          <w:sz w:val="20"/>
          <w:szCs w:val="20"/>
        </w:rPr>
        <w:t>Immunologically, lymphoma</w:t>
      </w:r>
      <w:r w:rsidRPr="00044E91">
        <w:rPr>
          <w:rFonts w:ascii="Times-Roman" w:hAnsi="Times-Roman" w:cs="Times-Roman"/>
          <w:sz w:val="20"/>
          <w:szCs w:val="20"/>
        </w:rPr>
        <w:t xml:space="preserve">, </w:t>
      </w:r>
      <w:r w:rsidRPr="00044E91">
        <w:rPr>
          <w:rFonts w:ascii="Helvetica" w:hAnsi="Helvetica" w:cs="Helvetica"/>
          <w:sz w:val="20"/>
          <w:szCs w:val="20"/>
        </w:rPr>
        <w:t xml:space="preserve">lymphoid, </w:t>
      </w:r>
      <w:r w:rsidRPr="00044E91">
        <w:rPr>
          <w:rFonts w:ascii="Helvetica-Oblique" w:hAnsi="Helvetica-Oblique" w:cs="Helvetica-Oblique"/>
          <w:i/>
          <w:iCs/>
          <w:sz w:val="20"/>
          <w:szCs w:val="20"/>
        </w:rPr>
        <w:t>Helicobacter pylori.</w:t>
      </w:r>
    </w:p>
    <w:sectPr w:rsidR="00563ED1" w:rsidRPr="00044E91" w:rsidSect="00563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E91"/>
    <w:rsid w:val="00044E91"/>
    <w:rsid w:val="00563ED1"/>
    <w:rsid w:val="00AC64A4"/>
    <w:rsid w:val="00B23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</dc:creator>
  <cp:lastModifiedBy>Clinic</cp:lastModifiedBy>
  <cp:revision>1</cp:revision>
  <dcterms:created xsi:type="dcterms:W3CDTF">2017-04-29T05:57:00Z</dcterms:created>
  <dcterms:modified xsi:type="dcterms:W3CDTF">2017-04-29T05:58:00Z</dcterms:modified>
</cp:coreProperties>
</file>