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2EA3" w:rsidRPr="005E765B" w:rsidRDefault="00E02EA3" w:rsidP="00E02EA3">
      <w:pPr>
        <w:shd w:val="clear" w:color="auto" w:fill="FFFFFF"/>
        <w:spacing w:after="100" w:afterAutospacing="1" w:line="480" w:lineRule="auto"/>
        <w:jc w:val="center"/>
        <w:rPr>
          <w:rFonts w:ascii="Arial" w:hAnsi="Arial" w:cs="Arial"/>
          <w:b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sz w:val="24"/>
          <w:szCs w:val="24"/>
          <w:shd w:val="clear" w:color="auto" w:fill="FFFFFF"/>
        </w:rPr>
        <w:t>Exogenous g</w:t>
      </w:r>
      <w:r w:rsidRPr="005E765B">
        <w:rPr>
          <w:rFonts w:ascii="Arial" w:hAnsi="Arial" w:cs="Arial"/>
          <w:b/>
          <w:sz w:val="24"/>
          <w:szCs w:val="24"/>
          <w:shd w:val="clear" w:color="auto" w:fill="FFFFFF"/>
        </w:rPr>
        <w:t xml:space="preserve">lucagon-like peptide-1 reduces body weight and </w:t>
      </w:r>
      <w:r w:rsidRPr="005E765B">
        <w:rPr>
          <w:rFonts w:ascii="Arial" w:hAnsi="Arial" w:cs="Arial"/>
          <w:b/>
          <w:sz w:val="24"/>
          <w:szCs w:val="24"/>
        </w:rPr>
        <w:t>c</w:t>
      </w:r>
      <w:r w:rsidRPr="005E765B">
        <w:rPr>
          <w:rFonts w:ascii="Arial" w:hAnsi="Arial" w:cs="Arial"/>
          <w:b/>
          <w:sz w:val="24"/>
          <w:szCs w:val="24"/>
          <w:shd w:val="clear" w:color="auto" w:fill="FFFFFF"/>
        </w:rPr>
        <w:t xml:space="preserve">holecystokinin-8 enhances this reduction in diet-induced obese male rats </w:t>
      </w:r>
    </w:p>
    <w:p w:rsidR="00E02EA3" w:rsidRPr="00E02EA3" w:rsidRDefault="00E02EA3" w:rsidP="00E02EA3">
      <w:pPr>
        <w:spacing w:after="100" w:afterAutospacing="1" w:line="480" w:lineRule="auto"/>
        <w:rPr>
          <w:rFonts w:ascii="Arial" w:hAnsi="Arial" w:cs="Arial"/>
          <w:b/>
        </w:rPr>
      </w:pPr>
      <w:proofErr w:type="spellStart"/>
      <w:r w:rsidRPr="00E02EA3">
        <w:rPr>
          <w:rFonts w:ascii="Arial" w:hAnsi="Arial" w:cs="Arial"/>
          <w:b/>
        </w:rPr>
        <w:t>Thaer</w:t>
      </w:r>
      <w:proofErr w:type="spellEnd"/>
      <w:r w:rsidRPr="00E02EA3">
        <w:rPr>
          <w:rFonts w:ascii="Arial" w:hAnsi="Arial" w:cs="Arial"/>
          <w:b/>
        </w:rPr>
        <w:t xml:space="preserve"> R. </w:t>
      </w:r>
      <w:proofErr w:type="spellStart"/>
      <w:r w:rsidRPr="00E02EA3">
        <w:rPr>
          <w:rFonts w:ascii="Arial" w:hAnsi="Arial" w:cs="Arial"/>
          <w:b/>
        </w:rPr>
        <w:t>Mhalhal</w:t>
      </w:r>
      <w:proofErr w:type="spellEnd"/>
      <w:r w:rsidRPr="00E02EA3">
        <w:rPr>
          <w:rFonts w:ascii="Arial" w:hAnsi="Arial" w:cs="Arial"/>
          <w:b/>
        </w:rPr>
        <w:t>, Martha C. Washington,</w:t>
      </w:r>
      <w:r w:rsidRPr="00E02EA3">
        <w:rPr>
          <w:rFonts w:ascii="Arial" w:hAnsi="Arial" w:cs="Arial"/>
        </w:rPr>
        <w:t xml:space="preserve"> </w:t>
      </w:r>
      <w:r w:rsidRPr="00E02EA3">
        <w:rPr>
          <w:rFonts w:ascii="Arial" w:hAnsi="Arial" w:cs="Arial"/>
          <w:b/>
        </w:rPr>
        <w:t>Kayla Newman</w:t>
      </w:r>
      <w:r w:rsidRPr="00E02EA3">
        <w:rPr>
          <w:rFonts w:ascii="Arial" w:hAnsi="Arial" w:cs="Arial"/>
        </w:rPr>
        <w:t xml:space="preserve">, </w:t>
      </w:r>
      <w:r w:rsidRPr="00E02EA3">
        <w:rPr>
          <w:rFonts w:ascii="Arial" w:hAnsi="Arial" w:cs="Arial"/>
          <w:b/>
        </w:rPr>
        <w:t xml:space="preserve">John C. Heath and Ayman I. </w:t>
      </w:r>
      <w:bookmarkStart w:id="0" w:name="_GoBack"/>
      <w:bookmarkEnd w:id="0"/>
      <w:r w:rsidRPr="00E02EA3">
        <w:rPr>
          <w:rFonts w:ascii="Arial" w:hAnsi="Arial" w:cs="Arial"/>
          <w:b/>
        </w:rPr>
        <w:t>Sayegh*</w:t>
      </w:r>
      <w:r w:rsidRPr="00E02EA3">
        <w:rPr>
          <w:rFonts w:ascii="Arial" w:hAnsi="Arial" w:cs="Arial"/>
        </w:rPr>
        <w:t>Gastroenterology Laboratory, Department of Biomedical Sciences, College of Veterinary Medicine, Tuskegee University, Tuskegee, AL 36088, USA</w:t>
      </w:r>
    </w:p>
    <w:p w:rsidR="00E02EA3" w:rsidRPr="00E02EA3" w:rsidRDefault="00E02EA3" w:rsidP="00E02EA3">
      <w:pPr>
        <w:spacing w:after="100" w:afterAutospacing="1" w:line="480" w:lineRule="auto"/>
        <w:ind w:firstLine="1440"/>
        <w:rPr>
          <w:rFonts w:ascii="Arial" w:hAnsi="Arial" w:cs="Arial"/>
          <w:sz w:val="24"/>
          <w:szCs w:val="24"/>
        </w:rPr>
      </w:pPr>
      <w:r w:rsidRPr="00E02EA3">
        <w:rPr>
          <w:rFonts w:ascii="Arial" w:hAnsi="Arial" w:cs="Arial"/>
          <w:sz w:val="24"/>
          <w:szCs w:val="24"/>
          <w:shd w:val="clear" w:color="auto" w:fill="FFFFFF"/>
        </w:rPr>
        <w:t xml:space="preserve">The sites of action regulating meal size and intermeal interval length by glucagon like peptide-1 (7-36) (GLP-1 (7-36)) and cholecystokinin-8 (CCK-8) reside in the areas supplied by the two major branches of the abdominal aorta, celiac and cranial mesenteric arteries. We hypothesized that infusing GLP-1 near those sites reduces body weight (BW) and adding CCK-8 to this infusion enhances the reduction. Here, we measured BW in diet-induced obese (DIO) male rats maintained on normal rat chow and infused with saline, GLP-1 (0.5 nmol/kg) and GLP-1+CCK-8 (0.5 nmol/kg each) in the aorta once daily for 21 days. We found that GLP-1 </w:t>
      </w:r>
      <w:r w:rsidRPr="00E02EA3">
        <w:rPr>
          <w:rFonts w:ascii="Arial" w:hAnsi="Arial" w:cs="Arial"/>
          <w:sz w:val="24"/>
          <w:szCs w:val="24"/>
        </w:rPr>
        <w:t>and GLP-1+CCK-8 decrease BW relative to saline vehicle and GLP-1+CCK-8 reduced it more than GLP-1 alone.</w:t>
      </w:r>
      <w:r w:rsidRPr="00E02EA3">
        <w:rPr>
          <w:rFonts w:ascii="Arial" w:hAnsi="Arial" w:cs="Arial"/>
          <w:sz w:val="24"/>
          <w:szCs w:val="24"/>
          <w:shd w:val="clear" w:color="auto" w:fill="FFFFFF"/>
        </w:rPr>
        <w:t xml:space="preserve"> This reduction was accompanied by reduction in 24-hour food intake, reduction of meal size (normal rat chow), increased latency to the first meal, decreased duration of the first meal and decreased number of meals and GLP-1+CCK-8 augmented the pervious responses, as well as prolongation of the intermeal interval and increasing satiety ratio more than GLP-1 alone. </w:t>
      </w:r>
      <w:r w:rsidRPr="00E02EA3">
        <w:rPr>
          <w:rFonts w:ascii="Arial" w:hAnsi="Arial" w:cs="Arial"/>
          <w:sz w:val="24"/>
          <w:szCs w:val="24"/>
        </w:rPr>
        <w:t xml:space="preserve">In conclusion, GLP-1 reduces BW and CCK-8 enhances this reduction if the peptides are given near their sites of action. </w:t>
      </w:r>
    </w:p>
    <w:sectPr w:rsidR="00E02EA3" w:rsidRPr="00E02E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EA3"/>
    <w:rsid w:val="00B14EA9"/>
    <w:rsid w:val="00E02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3382C"/>
  <w15:chartTrackingRefBased/>
  <w15:docId w15:val="{E8A436A6-2100-4EBF-AC56-C8D815848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2EA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Tuskegee University</Company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Washington</dc:creator>
  <cp:keywords/>
  <dc:description/>
  <cp:lastModifiedBy>Martha Washington</cp:lastModifiedBy>
  <cp:revision>1</cp:revision>
  <dcterms:created xsi:type="dcterms:W3CDTF">2017-04-26T13:45:00Z</dcterms:created>
  <dcterms:modified xsi:type="dcterms:W3CDTF">2017-04-26T13:48:00Z</dcterms:modified>
</cp:coreProperties>
</file>