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rPr>
          <w:rFonts w:ascii="Times New Roman"/>
          <w:sz w:val="20"/>
        </w:rPr>
      </w:pPr>
    </w:p>
    <w:p>
      <w:pPr>
        <w:pStyle w:val="2"/>
        <w:spacing w:before="170"/>
      </w:pPr>
      <w:r>
        <w:rPr>
          <w:rFonts w:hint="default"/>
          <w:color w:val="337AB7"/>
          <w:lang w:val="en-PH"/>
        </w:rPr>
        <w:t>A 24-year old Female with Indeterminate Hyperacute Liver Failure: A Case Report</w:t>
      </w:r>
    </w:p>
    <w:p>
      <w:pPr>
        <w:pStyle w:val="6"/>
        <w:spacing w:before="73" w:line="198" w:lineRule="exact"/>
        <w:ind w:left="100" w:right="3650" w:rightChars="0"/>
        <w:rPr>
          <w:rFonts w:hint="default" w:ascii="Arial"/>
          <w:b/>
          <w:bCs/>
          <w:lang w:val="en-PH"/>
        </w:rPr>
      </w:pPr>
      <w:r>
        <w:rPr>
          <w:rFonts w:ascii="Arial"/>
          <w:b/>
          <w:bCs/>
          <w:lang w:val="en-PH"/>
        </w:rPr>
        <w:t>Maria Elizabeth C Ching, MD, St. Luke</w:t>
      </w:r>
      <w:r>
        <w:rPr>
          <w:rFonts w:hint="default" w:ascii="Arial"/>
          <w:b/>
          <w:bCs/>
          <w:lang w:val="en-PH"/>
        </w:rPr>
        <w:t>’s Medical Center, Global City, Philippines</w:t>
      </w:r>
    </w:p>
    <w:p>
      <w:pPr>
        <w:pStyle w:val="6"/>
        <w:spacing w:before="73" w:line="198" w:lineRule="exact"/>
        <w:ind w:left="100" w:right="3430" w:rightChars="0"/>
        <w:rPr>
          <w:rFonts w:hint="default" w:ascii="Arial"/>
          <w:b/>
          <w:bCs/>
          <w:lang w:val="en-PH"/>
        </w:rPr>
      </w:pPr>
      <w:r>
        <w:rPr>
          <w:rFonts w:hint="default" w:ascii="Arial"/>
          <w:b/>
          <w:bCs/>
          <w:lang w:val="en-PH"/>
        </w:rPr>
        <w:t>Marie Antoinette Lontok MD,</w:t>
      </w:r>
      <w:r>
        <w:rPr>
          <w:rFonts w:ascii="Arial"/>
          <w:b/>
          <w:bCs/>
          <w:lang w:val="en-PH"/>
        </w:rPr>
        <w:t>St. Luke</w:t>
      </w:r>
      <w:r>
        <w:rPr>
          <w:rFonts w:hint="default" w:ascii="Arial"/>
          <w:b/>
          <w:bCs/>
          <w:lang w:val="en-PH"/>
        </w:rPr>
        <w:t>’s Medical Center, Global City, Philippines</w:t>
      </w:r>
    </w:p>
    <w:p>
      <w:pPr>
        <w:rPr>
          <w:rFonts w:ascii="Arial"/>
          <w:sz w:val="21"/>
        </w:rPr>
        <w:sectPr>
          <w:headerReference r:id="rId3" w:type="default"/>
          <w:footerReference r:id="rId4" w:type="default"/>
          <w:type w:val="continuous"/>
          <w:pgSz w:w="11910" w:h="16840"/>
          <w:pgMar w:top="1740" w:right="600" w:bottom="840" w:left="620" w:header="541" w:footer="642" w:gutter="0"/>
          <w:cols w:space="720" w:num="1"/>
        </w:sectPr>
      </w:pPr>
    </w:p>
    <w:p>
      <w:pPr>
        <w:pStyle w:val="4"/>
        <w:spacing w:before="147"/>
        <w:jc w:val="both"/>
        <w:rPr>
          <w:rFonts w:hint="default" w:ascii="Arial" w:hAnsi="Arial" w:cs="Arial"/>
          <w:sz w:val="18"/>
          <w:szCs w:val="18"/>
        </w:rPr>
      </w:pPr>
      <w:r>
        <w:rPr>
          <w:rFonts w:hint="default" w:ascii="Arial" w:hAnsi="Arial" w:cs="Arial"/>
          <w:color w:val="BF5A14"/>
          <w:sz w:val="18"/>
          <w:szCs w:val="18"/>
        </w:rPr>
        <w:t>Abstract</w:t>
      </w:r>
    </w:p>
    <w:p>
      <w:pPr>
        <w:pStyle w:val="6"/>
        <w:spacing w:before="90" w:line="280" w:lineRule="auto"/>
        <w:ind w:left="100"/>
        <w:jc w:val="both"/>
        <w:rPr>
          <w:rFonts w:hint="default" w:ascii="Arial" w:hAnsi="Arial" w:cs="Arial"/>
          <w:sz w:val="18"/>
          <w:szCs w:val="18"/>
          <w:lang w:val="en-PH"/>
        </w:rPr>
      </w:pPr>
      <w:r>
        <w:rPr>
          <w:rFonts w:hint="default" w:ascii="Arial" w:hAnsi="Arial" w:cs="Arial"/>
          <w:b/>
          <w:bCs/>
          <w:sz w:val="18"/>
          <w:szCs w:val="18"/>
          <w:lang w:val="en-PH"/>
        </w:rPr>
        <w:t xml:space="preserve">Introduction: </w:t>
      </w:r>
      <w:r>
        <w:rPr>
          <w:rFonts w:hint="default" w:ascii="Arial" w:hAnsi="Arial" w:cs="Arial"/>
          <w:sz w:val="18"/>
          <w:szCs w:val="18"/>
          <w:lang w:val="en-PH"/>
        </w:rPr>
        <w:t>ALF refers to sudden massive hepatic necrosis with encephalopathy and impaired synthetic function without pre-existing cirrhosis. Chronicity is based on interval between jaundice and encephalopathy onset as hyperacute (&lt; 7 d), acute (7-28 d) and subacute (4-26 wk).</w:t>
      </w:r>
    </w:p>
    <w:p>
      <w:pPr>
        <w:pStyle w:val="6"/>
        <w:spacing w:before="90" w:line="280" w:lineRule="auto"/>
        <w:ind w:left="100"/>
        <w:jc w:val="both"/>
        <w:rPr>
          <w:rFonts w:hint="default" w:ascii="Arial" w:hAnsi="Arial" w:cs="Arial"/>
          <w:sz w:val="18"/>
          <w:szCs w:val="18"/>
          <w:lang w:val="en-PH"/>
        </w:rPr>
      </w:pPr>
    </w:p>
    <w:p>
      <w:pPr>
        <w:pStyle w:val="6"/>
        <w:spacing w:before="90" w:line="280" w:lineRule="auto"/>
        <w:ind w:left="100"/>
        <w:jc w:val="both"/>
        <w:rPr>
          <w:rFonts w:hint="default" w:ascii="Arial" w:hAnsi="Arial" w:cs="Arial"/>
          <w:sz w:val="18"/>
          <w:szCs w:val="18"/>
          <w:lang w:val="en-PH"/>
        </w:rPr>
      </w:pPr>
      <w:r>
        <w:rPr>
          <w:rFonts w:hint="default" w:ascii="Arial" w:hAnsi="Arial" w:cs="Arial"/>
          <w:b/>
          <w:bCs/>
          <w:sz w:val="18"/>
          <w:szCs w:val="18"/>
          <w:lang w:val="en-PH"/>
        </w:rPr>
        <w:t xml:space="preserve">Case Description: </w:t>
      </w:r>
      <w:r>
        <w:rPr>
          <w:rFonts w:hint="default" w:ascii="Arial" w:hAnsi="Arial" w:cs="Arial"/>
          <w:sz w:val="18"/>
          <w:szCs w:val="18"/>
          <w:lang w:val="en-PH"/>
        </w:rPr>
        <w:t>A previously healthy 24-year old female with a history of lacrimal gland tumor on chronic oral prednisone (40mg) for a year was admitted for acute decreased sensorium, generalized jaundice, tea-colored urine, anorexia and undocumented fever.</w:t>
      </w:r>
    </w:p>
    <w:p>
      <w:pPr>
        <w:pStyle w:val="6"/>
        <w:spacing w:before="90" w:line="280" w:lineRule="auto"/>
        <w:ind w:left="100"/>
        <w:jc w:val="both"/>
        <w:rPr>
          <w:rFonts w:hint="default" w:ascii="Arial" w:hAnsi="Arial" w:cs="Arial"/>
          <w:sz w:val="18"/>
          <w:szCs w:val="18"/>
          <w:lang w:val="en-PH"/>
        </w:rPr>
      </w:pPr>
    </w:p>
    <w:p>
      <w:pPr>
        <w:pStyle w:val="6"/>
        <w:spacing w:before="90" w:line="280" w:lineRule="auto"/>
        <w:ind w:left="100"/>
        <w:jc w:val="both"/>
        <w:rPr>
          <w:rFonts w:hint="default" w:ascii="Arial" w:hAnsi="Arial" w:cs="Arial"/>
          <w:sz w:val="18"/>
          <w:szCs w:val="18"/>
          <w:lang w:val="en-PH"/>
        </w:rPr>
      </w:pPr>
      <w:r>
        <w:rPr>
          <w:rFonts w:hint="default" w:ascii="Arial" w:hAnsi="Arial" w:cs="Arial"/>
          <w:b/>
          <w:bCs/>
          <w:sz w:val="18"/>
          <w:szCs w:val="18"/>
          <w:lang w:val="en-PH"/>
        </w:rPr>
        <w:t>Methods, Results:</w:t>
      </w:r>
      <w:r>
        <w:rPr>
          <w:rFonts w:hint="default" w:ascii="Arial" w:hAnsi="Arial" w:cs="Arial"/>
          <w:sz w:val="18"/>
          <w:szCs w:val="18"/>
          <w:lang w:val="en-PH"/>
        </w:rPr>
        <w:t xml:space="preserve"> Laboratory findings showed hyperbilirubinemia (total bilirubin 13.26, direct bilirubin 10.68, indirect bilirubin 2.58), transaminitis (ALT 5507 , AST 3549), elevated alkaline phosphatase (195), impaired coagulation hyperammonemia and normal platelets. Extensive work-up including hepatitis panel, paracetamol, methamphetamine, cannabinoids, benzodiazepene, barbiturates, cocaine, opiates, phenylcyclidine, cytomegalovirus IgM, EBV, HSV1, HSV2, C3, anti-Sm and anti-mitochondrial antibody, LKM1, cerulopalsmin, strepA throat screen test, malarial smear and leptospiral IgM were all unremarkable. Whole abdominal ultrasound revealed unremarkable liver, biliary tree and pancreas, with splenomegaly 13 x 14.5cm. Medical and supportive treatment were promptly provided. Orthotopic liver transplantation (OLT) was contemplated, however, cerebral edema and hemorrhage ensued on Day 5 leading to demise.</w:t>
      </w:r>
    </w:p>
    <w:p>
      <w:pPr>
        <w:pStyle w:val="6"/>
        <w:spacing w:before="90" w:line="280" w:lineRule="auto"/>
        <w:jc w:val="both"/>
        <w:rPr>
          <w:rFonts w:hint="default" w:ascii="Arial" w:hAnsi="Arial" w:cs="Arial"/>
          <w:sz w:val="18"/>
          <w:szCs w:val="18"/>
          <w:lang w:val="en-PH"/>
        </w:rPr>
      </w:pPr>
    </w:p>
    <w:p>
      <w:pPr>
        <w:pStyle w:val="6"/>
        <w:spacing w:before="90" w:line="280" w:lineRule="auto"/>
        <w:ind w:left="100"/>
        <w:jc w:val="both"/>
        <w:rPr>
          <w:rFonts w:hint="default" w:ascii="Arial" w:hAnsi="Arial" w:cs="Arial"/>
          <w:sz w:val="18"/>
          <w:szCs w:val="18"/>
          <w:lang w:val="en-PH"/>
        </w:rPr>
      </w:pPr>
      <w:r>
        <w:rPr>
          <w:rFonts w:hint="default" w:ascii="Arial" w:hAnsi="Arial" w:cs="Arial"/>
          <w:b/>
          <w:bCs/>
          <w:sz w:val="18"/>
          <w:szCs w:val="18"/>
          <w:lang w:val="en-PH"/>
        </w:rPr>
        <w:t xml:space="preserve">Discussion: </w:t>
      </w:r>
      <w:r>
        <w:rPr>
          <w:rFonts w:hint="default" w:ascii="Arial" w:hAnsi="Arial" w:cs="Arial"/>
          <w:sz w:val="18"/>
          <w:szCs w:val="18"/>
          <w:lang w:val="en-PH"/>
        </w:rPr>
        <w:t>Etiology varies widely among toxic, viral, metabolic and vascular insults. There are rare reports of ALF with repeated steroid administration. Management consisting of intensive care should be initiated depending on the etiology and chronicity of ALF. OLT has emerged as the only therapeutic intervention with proven benefit for patients with advanced ALF.</w:t>
      </w:r>
    </w:p>
    <w:p>
      <w:pPr>
        <w:pStyle w:val="6"/>
        <w:spacing w:before="90" w:line="280" w:lineRule="auto"/>
        <w:ind w:left="100"/>
        <w:jc w:val="both"/>
        <w:rPr>
          <w:rFonts w:hint="default" w:ascii="Arial" w:hAnsi="Arial" w:cs="Arial"/>
          <w:sz w:val="18"/>
          <w:szCs w:val="18"/>
          <w:lang w:val="en-PH"/>
        </w:rPr>
      </w:pPr>
    </w:p>
    <w:p>
      <w:pPr>
        <w:pStyle w:val="6"/>
        <w:spacing w:before="90" w:line="280" w:lineRule="auto"/>
        <w:ind w:left="100"/>
        <w:jc w:val="both"/>
        <w:rPr>
          <w:rFonts w:hint="default" w:ascii="Arial" w:hAnsi="Arial" w:cs="Arial"/>
          <w:b/>
          <w:sz w:val="18"/>
          <w:szCs w:val="18"/>
        </w:rPr>
      </w:pPr>
      <w:r>
        <w:rPr>
          <w:rFonts w:hint="default" w:ascii="Arial" w:hAnsi="Arial" w:cs="Arial"/>
          <w:b/>
          <w:bCs/>
          <w:sz w:val="18"/>
          <w:szCs w:val="18"/>
          <w:lang w:val="en-PH"/>
        </w:rPr>
        <w:t>Conclusion:</w:t>
      </w:r>
      <w:r>
        <w:rPr>
          <w:rFonts w:hint="default" w:ascii="Arial" w:hAnsi="Arial" w:cs="Arial"/>
          <w:b w:val="0"/>
          <w:bCs w:val="0"/>
          <w:sz w:val="18"/>
          <w:szCs w:val="18"/>
          <w:lang w:val="en-PH"/>
        </w:rPr>
        <w:t xml:space="preserve"> Management of ALF is challenging due to rapid progression of disease and frequently poor prognosis.</w:t>
      </w:r>
      <w:r>
        <w:rPr>
          <w:rFonts w:hint="default" w:ascii="Arial" w:hAnsi="Arial" w:cs="Arial"/>
          <w:b/>
          <w:bCs/>
          <w:sz w:val="18"/>
          <w:szCs w:val="18"/>
          <w:lang w:val="en-PH"/>
        </w:rPr>
        <w:t xml:space="preserve"> </w:t>
      </w:r>
      <w:r>
        <w:rPr>
          <w:rFonts w:hint="default" w:ascii="Arial" w:hAnsi="Arial" w:cs="Arial"/>
          <w:sz w:val="18"/>
          <w:szCs w:val="18"/>
          <w:lang w:val="en-PH"/>
        </w:rPr>
        <w:t xml:space="preserve">We report a case of indeterminate hyperacute liver failure in a healthy young female. Despite extensive work-up and prompt intensive medical management, rapid clinical deterioration ensued. History of chronic steroid use might be a precipitant, as supported by few case reports. </w:t>
      </w:r>
      <w:r>
        <w:rPr>
          <w:rFonts w:hint="default" w:ascii="Arial" w:hAnsi="Arial" w:cs="Arial"/>
          <w:b w:val="0"/>
          <w:sz w:val="18"/>
          <w:szCs w:val="18"/>
        </w:rPr>
        <w:br w:type="column"/>
      </w:r>
      <w:r>
        <w:rPr>
          <w:rFonts w:hint="default" w:ascii="Arial" w:hAnsi="Arial" w:cs="Arial"/>
          <w:b/>
          <w:color w:val="BF5A14"/>
          <w:sz w:val="18"/>
          <w:szCs w:val="18"/>
        </w:rPr>
        <w:t>Recent publications</w:t>
      </w:r>
      <w:r>
        <w:rPr>
          <w:rFonts w:hint="default" w:ascii="Arial" w:hAnsi="Arial" w:cs="Arial"/>
          <w:b/>
          <w:color w:val="BF5A14"/>
          <w:sz w:val="18"/>
          <w:szCs w:val="18"/>
          <w:lang w:val="en-PH"/>
        </w:rPr>
        <w:t>/References</w:t>
      </w:r>
    </w:p>
    <w:p>
      <w:pPr>
        <w:pStyle w:val="6"/>
        <w:numPr>
          <w:ilvl w:val="0"/>
          <w:numId w:val="0"/>
        </w:numPr>
        <w:spacing w:before="82" w:line="200" w:lineRule="exact"/>
        <w:ind w:left="99" w:leftChars="0" w:right="118" w:rightChars="0"/>
        <w:jc w:val="both"/>
        <w:rPr>
          <w:rFonts w:hint="default" w:ascii="Arial" w:hAnsi="Arial" w:cs="Arial"/>
          <w:sz w:val="18"/>
          <w:szCs w:val="18"/>
          <w:lang w:val="en-PH"/>
        </w:rPr>
      </w:pPr>
      <w:r>
        <w:rPr>
          <w:rFonts w:hint="default" w:ascii="Arial" w:hAnsi="Arial" w:cs="Arial"/>
          <w:sz w:val="18"/>
          <w:szCs w:val="18"/>
          <w:lang w:val="en-PH"/>
        </w:rPr>
        <w:t xml:space="preserve">1 Saliba, F, DIdier S. </w:t>
      </w:r>
      <w:r>
        <w:rPr>
          <w:rFonts w:hint="default" w:ascii="Arial" w:hAnsi="Arial" w:cs="Arial"/>
          <w:b/>
          <w:bCs/>
          <w:sz w:val="18"/>
          <w:szCs w:val="18"/>
          <w:lang w:val="en-PH"/>
        </w:rPr>
        <w:t xml:space="preserve">Acute liver failure: Current trends. </w:t>
      </w:r>
      <w:r>
        <w:rPr>
          <w:rFonts w:hint="default" w:ascii="Arial" w:hAnsi="Arial" w:cs="Arial"/>
          <w:sz w:val="18"/>
          <w:szCs w:val="18"/>
          <w:lang w:val="en-PH"/>
        </w:rPr>
        <w:t>European Association for the Study of Liver: Journal of Hepatology 2013; 59: 6-8.</w:t>
      </w:r>
    </w:p>
    <w:p>
      <w:pPr>
        <w:pStyle w:val="6"/>
        <w:spacing w:before="82" w:line="200" w:lineRule="exact"/>
        <w:ind w:left="383" w:right="118" w:hanging="284"/>
        <w:jc w:val="both"/>
        <w:rPr>
          <w:rFonts w:hint="default" w:ascii="Arial" w:hAnsi="Arial" w:cs="Arial"/>
          <w:sz w:val="18"/>
          <w:szCs w:val="18"/>
          <w:lang w:val="en-PH"/>
        </w:rPr>
      </w:pPr>
    </w:p>
    <w:p>
      <w:pPr>
        <w:pStyle w:val="6"/>
        <w:spacing w:before="82" w:line="200" w:lineRule="exact"/>
        <w:ind w:left="383" w:right="118" w:hanging="284"/>
        <w:jc w:val="both"/>
        <w:rPr>
          <w:rFonts w:hint="default" w:ascii="Arial" w:hAnsi="Arial" w:cs="Arial"/>
          <w:sz w:val="18"/>
          <w:szCs w:val="18"/>
          <w:lang w:val="en-PH"/>
        </w:rPr>
      </w:pPr>
      <w:r>
        <w:rPr>
          <w:rFonts w:hint="default" w:ascii="Arial" w:hAnsi="Arial" w:cs="Arial"/>
          <w:sz w:val="18"/>
          <w:szCs w:val="18"/>
          <w:lang w:val="en-PH"/>
        </w:rPr>
        <w:t xml:space="preserve">2 Bernuau J, Rueff B, Benhamou JP. </w:t>
      </w:r>
      <w:r>
        <w:rPr>
          <w:rFonts w:hint="default" w:ascii="Arial" w:hAnsi="Arial" w:cs="Arial"/>
          <w:b/>
          <w:bCs/>
          <w:sz w:val="18"/>
          <w:szCs w:val="18"/>
          <w:lang w:val="en-PH"/>
        </w:rPr>
        <w:t xml:space="preserve">Fulminant and subfulminant liver failure: definitions and causes. </w:t>
      </w:r>
      <w:r>
        <w:rPr>
          <w:rFonts w:hint="default" w:ascii="Arial" w:hAnsi="Arial" w:cs="Arial"/>
          <w:sz w:val="18"/>
          <w:szCs w:val="18"/>
          <w:lang w:val="en-PH"/>
        </w:rPr>
        <w:t>Seminars in Liver Disease 1986; 6: 97–106.</w:t>
      </w:r>
    </w:p>
    <w:p>
      <w:pPr>
        <w:pStyle w:val="6"/>
        <w:spacing w:before="82" w:line="200" w:lineRule="exact"/>
        <w:ind w:left="383" w:right="118" w:hanging="284"/>
        <w:jc w:val="both"/>
        <w:rPr>
          <w:rFonts w:hint="default" w:ascii="Arial" w:hAnsi="Arial" w:cs="Arial"/>
          <w:sz w:val="18"/>
          <w:szCs w:val="18"/>
          <w:lang w:val="en-PH"/>
        </w:rPr>
      </w:pPr>
    </w:p>
    <w:p>
      <w:pPr>
        <w:pStyle w:val="6"/>
        <w:spacing w:before="82" w:line="200" w:lineRule="exact"/>
        <w:ind w:left="383" w:right="118" w:hanging="284"/>
        <w:jc w:val="both"/>
        <w:rPr>
          <w:rFonts w:hint="default" w:ascii="Arial" w:hAnsi="Arial" w:cs="Arial"/>
          <w:sz w:val="18"/>
          <w:szCs w:val="18"/>
          <w:lang w:val="en-PH"/>
        </w:rPr>
      </w:pPr>
      <w:r>
        <w:rPr>
          <w:rFonts w:hint="default" w:ascii="Arial" w:hAnsi="Arial" w:cs="Arial"/>
          <w:sz w:val="18"/>
          <w:szCs w:val="18"/>
          <w:lang w:val="en-PH"/>
        </w:rPr>
        <w:t>3 Bernuau J, Durand F.</w:t>
      </w:r>
      <w:r>
        <w:rPr>
          <w:rFonts w:hint="default" w:ascii="Arial" w:hAnsi="Arial" w:cs="Arial"/>
          <w:b/>
          <w:bCs/>
          <w:sz w:val="18"/>
          <w:szCs w:val="18"/>
          <w:lang w:val="en-PH"/>
        </w:rPr>
        <w:t xml:space="preserve"> Early prediction of encephalopathy in hospitalized patients with severe acute liver disease: the narrow window of opportunity for transplant-free survival. </w:t>
      </w:r>
      <w:r>
        <w:rPr>
          <w:rFonts w:hint="default" w:ascii="Arial" w:hAnsi="Arial" w:cs="Arial"/>
          <w:sz w:val="18"/>
          <w:szCs w:val="18"/>
          <w:lang w:val="en-PH"/>
        </w:rPr>
        <w:t>Journal of Hepatology 2009;51:977–980.</w:t>
      </w:r>
    </w:p>
    <w:p>
      <w:pPr>
        <w:pStyle w:val="6"/>
        <w:spacing w:before="82" w:line="200" w:lineRule="exact"/>
        <w:ind w:left="383" w:right="118" w:hanging="284"/>
        <w:jc w:val="both"/>
        <w:rPr>
          <w:rFonts w:hint="default" w:ascii="Arial" w:hAnsi="Arial" w:cs="Arial"/>
          <w:sz w:val="18"/>
          <w:szCs w:val="18"/>
          <w:lang w:val="en-PH"/>
        </w:rPr>
      </w:pPr>
    </w:p>
    <w:p>
      <w:pPr>
        <w:pStyle w:val="6"/>
        <w:spacing w:before="82" w:line="200" w:lineRule="exact"/>
        <w:ind w:left="383" w:right="118" w:hanging="284"/>
        <w:jc w:val="both"/>
        <w:rPr>
          <w:rFonts w:hint="default" w:ascii="Arial" w:hAnsi="Arial" w:cs="Arial"/>
          <w:sz w:val="18"/>
          <w:szCs w:val="18"/>
          <w:lang w:val="en-PH"/>
        </w:rPr>
      </w:pPr>
      <w:r>
        <w:rPr>
          <w:rFonts w:hint="default" w:ascii="Arial" w:hAnsi="Arial" w:cs="Arial"/>
          <w:sz w:val="18"/>
          <w:szCs w:val="18"/>
          <w:lang w:val="en-PH"/>
        </w:rPr>
        <w:t>4 Denson J, Maller A, Beckwith C and Schwartz D</w:t>
      </w:r>
      <w:r>
        <w:rPr>
          <w:rFonts w:hint="default" w:ascii="Arial" w:hAnsi="Arial" w:cs="Arial"/>
          <w:b/>
          <w:bCs/>
          <w:sz w:val="18"/>
          <w:szCs w:val="18"/>
          <w:lang w:val="en-PH"/>
        </w:rPr>
        <w:t xml:space="preserve">. A 25-year old man with fulminant hepatic failure after treatment of corticosteroids. </w:t>
      </w:r>
      <w:r>
        <w:rPr>
          <w:rFonts w:hint="default" w:ascii="Arial" w:hAnsi="Arial" w:cs="Arial"/>
          <w:sz w:val="18"/>
          <w:szCs w:val="18"/>
          <w:lang w:val="en-PH"/>
        </w:rPr>
        <w:t>Chest 2013; 144 (5): 1717 – 1719.</w:t>
      </w:r>
    </w:p>
    <w:p>
      <w:pPr>
        <w:pStyle w:val="6"/>
        <w:spacing w:before="82" w:line="200" w:lineRule="exact"/>
        <w:ind w:left="383" w:right="118" w:hanging="284"/>
        <w:jc w:val="both"/>
        <w:rPr>
          <w:rFonts w:hint="default" w:ascii="Arial" w:hAnsi="Arial" w:cs="Arial"/>
          <w:sz w:val="18"/>
          <w:szCs w:val="18"/>
          <w:lang w:val="en-PH"/>
        </w:rPr>
      </w:pPr>
    </w:p>
    <w:p>
      <w:pPr>
        <w:pStyle w:val="6"/>
        <w:spacing w:before="82" w:line="200" w:lineRule="exact"/>
        <w:ind w:left="383" w:right="118" w:hanging="284"/>
        <w:jc w:val="both"/>
        <w:rPr>
          <w:rFonts w:hint="default" w:ascii="Arial" w:hAnsi="Arial" w:cs="Arial"/>
          <w:sz w:val="18"/>
          <w:szCs w:val="18"/>
          <w:lang w:val="en-PH"/>
        </w:rPr>
      </w:pPr>
      <w:r>
        <w:rPr>
          <w:rFonts w:hint="default" w:ascii="Arial" w:hAnsi="Arial" w:cs="Arial"/>
          <w:sz w:val="18"/>
          <w:szCs w:val="18"/>
          <w:lang w:val="en-PH"/>
        </w:rPr>
        <w:t xml:space="preserve">5 Weissel M, Hauff W. </w:t>
      </w:r>
      <w:r>
        <w:rPr>
          <w:rFonts w:hint="default" w:ascii="Arial" w:hAnsi="Arial" w:cs="Arial"/>
          <w:b/>
          <w:bCs/>
          <w:sz w:val="18"/>
          <w:szCs w:val="18"/>
          <w:lang w:val="en-PH"/>
        </w:rPr>
        <w:t xml:space="preserve">Fatal liver failure after high-dose glucocorticoid pulse therapy in a patient with severe thyroid eye disease. </w:t>
      </w:r>
      <w:r>
        <w:rPr>
          <w:rFonts w:hint="default" w:ascii="Arial" w:hAnsi="Arial" w:cs="Arial"/>
          <w:sz w:val="18"/>
          <w:szCs w:val="18"/>
          <w:lang w:val="en-PH"/>
        </w:rPr>
        <w:t>Thyroid 2000; 10: 521.</w:t>
      </w:r>
    </w:p>
    <w:p>
      <w:pPr>
        <w:pStyle w:val="6"/>
        <w:spacing w:before="82" w:line="200" w:lineRule="exact"/>
        <w:ind w:left="383" w:right="118" w:hanging="284"/>
        <w:jc w:val="both"/>
        <w:rPr>
          <w:rFonts w:hint="default" w:ascii="Arial" w:hAnsi="Arial" w:cs="Arial"/>
          <w:sz w:val="18"/>
          <w:szCs w:val="18"/>
          <w:lang w:val="en-PH"/>
        </w:rPr>
      </w:pPr>
    </w:p>
    <w:p>
      <w:pPr>
        <w:pStyle w:val="6"/>
        <w:spacing w:before="82" w:line="200" w:lineRule="exact"/>
        <w:ind w:left="383" w:right="118" w:hanging="284"/>
        <w:jc w:val="both"/>
        <w:rPr>
          <w:rFonts w:hint="default" w:ascii="Arial" w:hAnsi="Arial" w:cs="Arial"/>
          <w:sz w:val="18"/>
          <w:szCs w:val="18"/>
          <w:lang w:val="en-PH"/>
        </w:rPr>
      </w:pPr>
      <w:r>
        <w:rPr>
          <w:rFonts w:hint="default" w:ascii="Arial" w:hAnsi="Arial" w:cs="Arial"/>
          <w:sz w:val="18"/>
          <w:szCs w:val="18"/>
          <w:lang w:val="en-PH"/>
        </w:rPr>
        <w:t xml:space="preserve">6 Davidov Y, Har-Noy O, Pappo O, Achiron A, Dolev M and Ben-Ari Z. </w:t>
      </w:r>
      <w:r>
        <w:rPr>
          <w:rFonts w:hint="default" w:ascii="Arial" w:hAnsi="Arial" w:cs="Arial"/>
          <w:b/>
          <w:bCs/>
          <w:sz w:val="18"/>
          <w:szCs w:val="18"/>
          <w:lang w:val="en-PH"/>
        </w:rPr>
        <w:t xml:space="preserve">Methylprednisolone-induced liver injury: Case report and literature review. </w:t>
      </w:r>
      <w:r>
        <w:rPr>
          <w:rFonts w:hint="default" w:ascii="Arial" w:hAnsi="Arial" w:cs="Arial"/>
          <w:sz w:val="18"/>
          <w:szCs w:val="18"/>
          <w:lang w:val="en-PH"/>
        </w:rPr>
        <w:t>Journal of Digestive Diseases 2016; 17: 55-62.</w:t>
      </w:r>
    </w:p>
    <w:p>
      <w:pPr>
        <w:pStyle w:val="6"/>
        <w:spacing w:before="82" w:line="200" w:lineRule="exact"/>
        <w:ind w:left="383" w:right="118" w:hanging="284"/>
        <w:jc w:val="both"/>
        <w:rPr>
          <w:rFonts w:hint="default" w:ascii="Arial" w:hAnsi="Arial" w:cs="Arial"/>
          <w:sz w:val="18"/>
          <w:szCs w:val="18"/>
          <w:lang w:val="en-PH"/>
        </w:rPr>
      </w:pPr>
    </w:p>
    <w:p>
      <w:pPr>
        <w:pStyle w:val="6"/>
        <w:spacing w:before="82" w:line="200" w:lineRule="exact"/>
        <w:ind w:left="383" w:right="118" w:hanging="284"/>
        <w:jc w:val="both"/>
        <w:rPr>
          <w:rFonts w:hint="default" w:ascii="Arial" w:hAnsi="Arial" w:cs="Arial"/>
          <w:sz w:val="18"/>
          <w:szCs w:val="18"/>
          <w:lang w:val="en-PH"/>
        </w:rPr>
      </w:pPr>
      <w:r>
        <w:rPr>
          <w:rFonts w:hint="default" w:ascii="Arial" w:hAnsi="Arial" w:cs="Arial"/>
          <w:sz w:val="18"/>
          <w:szCs w:val="18"/>
          <w:lang w:val="en-PH"/>
        </w:rPr>
        <w:t xml:space="preserve">7 Wang D, Yin Y and Yao Y. </w:t>
      </w:r>
      <w:r>
        <w:rPr>
          <w:rFonts w:hint="default" w:ascii="Arial" w:hAnsi="Arial" w:cs="Arial"/>
          <w:b/>
          <w:bCs/>
          <w:sz w:val="18"/>
          <w:szCs w:val="18"/>
          <w:lang w:val="en-PH"/>
        </w:rPr>
        <w:t>Advances in the management of acute liver failure. World Journal of Gastroenterology.</w:t>
      </w:r>
      <w:r>
        <w:rPr>
          <w:rFonts w:hint="default" w:ascii="Arial" w:hAnsi="Arial" w:cs="Arial"/>
          <w:sz w:val="18"/>
          <w:szCs w:val="18"/>
          <w:lang w:val="en-PH"/>
        </w:rPr>
        <w:t xml:space="preserve"> World Journal of Gastroenterology 2013; 19 (41): 7069-7077.</w:t>
      </w:r>
    </w:p>
    <w:p>
      <w:pPr>
        <w:pStyle w:val="6"/>
        <w:spacing w:before="82" w:line="200" w:lineRule="exact"/>
        <w:ind w:left="383" w:right="118" w:hanging="284"/>
        <w:jc w:val="both"/>
        <w:rPr>
          <w:rFonts w:hint="default" w:ascii="Arial" w:hAnsi="Arial" w:cs="Arial"/>
          <w:sz w:val="18"/>
          <w:szCs w:val="18"/>
          <w:lang w:val="en-PH"/>
        </w:rPr>
      </w:pPr>
    </w:p>
    <w:p>
      <w:pPr>
        <w:pStyle w:val="6"/>
        <w:spacing w:before="82" w:line="200" w:lineRule="exact"/>
        <w:ind w:left="383" w:right="118" w:hanging="284"/>
        <w:jc w:val="both"/>
        <w:rPr>
          <w:rFonts w:hint="default" w:ascii="Arial" w:hAnsi="Arial" w:cs="Arial"/>
          <w:sz w:val="18"/>
          <w:szCs w:val="18"/>
          <w:lang w:val="en-PH"/>
        </w:rPr>
      </w:pPr>
      <w:r>
        <w:rPr>
          <w:rFonts w:hint="default" w:ascii="Arial" w:hAnsi="Arial" w:cs="Arial"/>
          <w:sz w:val="18"/>
          <w:szCs w:val="18"/>
          <w:lang w:val="en-PH"/>
        </w:rPr>
        <w:t>8 Pathikonda M, Munoz SJ.</w:t>
      </w:r>
      <w:r>
        <w:rPr>
          <w:rFonts w:hint="default" w:ascii="Arial" w:hAnsi="Arial" w:cs="Arial"/>
          <w:b/>
          <w:bCs/>
          <w:sz w:val="18"/>
          <w:szCs w:val="18"/>
          <w:lang w:val="en-PH"/>
        </w:rPr>
        <w:t xml:space="preserve"> Acute liver failure. </w:t>
      </w:r>
      <w:r>
        <w:rPr>
          <w:rFonts w:hint="default" w:ascii="Arial" w:hAnsi="Arial" w:cs="Arial"/>
          <w:sz w:val="18"/>
          <w:szCs w:val="18"/>
          <w:lang w:val="en-PH"/>
        </w:rPr>
        <w:t>Ann Hepatol 2010; 9: 7-14</w:t>
      </w:r>
    </w:p>
    <w:p>
      <w:pPr>
        <w:pStyle w:val="6"/>
        <w:spacing w:before="82" w:line="200" w:lineRule="exact"/>
        <w:ind w:left="383" w:right="118" w:hanging="284"/>
        <w:jc w:val="both"/>
        <w:rPr>
          <w:rFonts w:hint="default" w:ascii="Arial" w:hAnsi="Arial" w:cs="Arial"/>
          <w:sz w:val="18"/>
          <w:szCs w:val="18"/>
          <w:lang w:val="en-PH"/>
        </w:rPr>
      </w:pPr>
    </w:p>
    <w:p>
      <w:pPr>
        <w:pStyle w:val="6"/>
        <w:spacing w:before="82" w:line="200" w:lineRule="exact"/>
        <w:ind w:left="383" w:right="118" w:hanging="284"/>
        <w:jc w:val="both"/>
        <w:rPr>
          <w:rFonts w:hint="default" w:ascii="Arial" w:hAnsi="Arial" w:cs="Arial"/>
          <w:sz w:val="18"/>
          <w:szCs w:val="18"/>
          <w:lang w:val="en-PH"/>
        </w:rPr>
      </w:pPr>
      <w:r>
        <w:rPr>
          <w:rFonts w:hint="default" w:ascii="Arial" w:hAnsi="Arial" w:cs="Arial"/>
          <w:sz w:val="18"/>
          <w:szCs w:val="18"/>
          <w:lang w:val="en-PH"/>
        </w:rPr>
        <w:t xml:space="preserve">9 O’Grady J. </w:t>
      </w:r>
      <w:r>
        <w:rPr>
          <w:rFonts w:hint="default" w:ascii="Arial" w:hAnsi="Arial" w:cs="Arial"/>
          <w:b/>
          <w:bCs/>
          <w:sz w:val="18"/>
          <w:szCs w:val="18"/>
          <w:lang w:val="en-PH"/>
        </w:rPr>
        <w:t>Liver transplantation for acute liver failure.</w:t>
      </w:r>
      <w:r>
        <w:rPr>
          <w:rFonts w:hint="default" w:ascii="Arial" w:hAnsi="Arial" w:cs="Arial"/>
          <w:sz w:val="18"/>
          <w:szCs w:val="18"/>
          <w:lang w:val="en-PH"/>
        </w:rPr>
        <w:t xml:space="preserve"> Best Pract Res Clin Gastroenterol 2012; 26: 27-33. </w:t>
      </w:r>
    </w:p>
    <w:p>
      <w:pPr>
        <w:pStyle w:val="6"/>
        <w:spacing w:before="82" w:line="200" w:lineRule="exact"/>
        <w:ind w:left="383" w:right="118" w:hanging="284"/>
        <w:jc w:val="both"/>
        <w:rPr>
          <w:rFonts w:hint="default" w:ascii="Arial" w:hAnsi="Arial" w:cs="Arial"/>
          <w:sz w:val="18"/>
          <w:szCs w:val="18"/>
          <w:lang w:val="en-PH"/>
        </w:rPr>
      </w:pPr>
    </w:p>
    <w:p>
      <w:pPr>
        <w:pStyle w:val="6"/>
        <w:spacing w:before="82" w:line="200" w:lineRule="exact"/>
        <w:ind w:left="383" w:right="118" w:hanging="284"/>
        <w:jc w:val="both"/>
        <w:rPr>
          <w:rFonts w:hint="default" w:ascii="Arial" w:hAnsi="Arial" w:cs="Arial"/>
          <w:sz w:val="18"/>
          <w:szCs w:val="18"/>
          <w:lang w:val="en-PH"/>
        </w:rPr>
      </w:pPr>
      <w:r>
        <w:rPr>
          <w:rFonts w:hint="default" w:ascii="Arial" w:hAnsi="Arial" w:cs="Arial"/>
          <w:sz w:val="18"/>
          <w:szCs w:val="18"/>
          <w:lang w:val="en-PH"/>
        </w:rPr>
        <w:t xml:space="preserve">10 Lee WM. </w:t>
      </w:r>
      <w:r>
        <w:rPr>
          <w:rFonts w:hint="default" w:ascii="Arial" w:hAnsi="Arial" w:cs="Arial"/>
          <w:b/>
          <w:bCs/>
          <w:sz w:val="18"/>
          <w:szCs w:val="18"/>
          <w:lang w:val="en-PH"/>
        </w:rPr>
        <w:t xml:space="preserve">Recent developments in acute liver failure. </w:t>
      </w:r>
      <w:r>
        <w:rPr>
          <w:rFonts w:hint="default" w:ascii="Arial" w:hAnsi="Arial" w:cs="Arial"/>
          <w:sz w:val="18"/>
          <w:szCs w:val="18"/>
          <w:lang w:val="en-PH"/>
        </w:rPr>
        <w:t>Best Pract Res Clin Gastroenterol 2012; 26: 3-16</w:t>
      </w:r>
    </w:p>
    <w:p>
      <w:pPr>
        <w:pStyle w:val="6"/>
        <w:spacing w:before="82" w:line="200" w:lineRule="exact"/>
        <w:ind w:left="383" w:right="118" w:hanging="284"/>
        <w:jc w:val="both"/>
        <w:rPr>
          <w:rFonts w:hint="default" w:ascii="Arial" w:hAnsi="Arial" w:cs="Arial"/>
          <w:sz w:val="18"/>
          <w:szCs w:val="18"/>
          <w:lang w:val="en-PH"/>
        </w:rPr>
      </w:pPr>
    </w:p>
    <w:p>
      <w:pPr>
        <w:pStyle w:val="6"/>
        <w:spacing w:before="82" w:line="200" w:lineRule="exact"/>
        <w:ind w:left="383" w:right="118" w:hanging="284"/>
        <w:jc w:val="both"/>
        <w:rPr>
          <w:rFonts w:hint="default" w:ascii="Arial" w:hAnsi="Arial" w:cs="Arial"/>
          <w:sz w:val="18"/>
          <w:szCs w:val="18"/>
        </w:rPr>
      </w:pPr>
      <w:r>
        <w:rPr>
          <w:rFonts w:hint="default" w:ascii="Arial" w:hAnsi="Arial" w:cs="Arial"/>
          <w:sz w:val="18"/>
          <w:szCs w:val="18"/>
          <w:lang w:val="en-PH"/>
        </w:rPr>
        <w:t xml:space="preserve">11 Stravitz RT, Lisman T, Luketic VA, Sterling RK, Puri P, Fuchs M, Ibrahim A, Lee WM, Sanyal AJ. </w:t>
      </w:r>
      <w:r>
        <w:rPr>
          <w:rFonts w:hint="default" w:ascii="Arial" w:hAnsi="Arial" w:cs="Arial"/>
          <w:b/>
          <w:bCs/>
          <w:sz w:val="18"/>
          <w:szCs w:val="18"/>
          <w:lang w:val="en-PH"/>
        </w:rPr>
        <w:t xml:space="preserve"> Minimal effects of acute liver injury/acute liver failure on hemostasis as assessed by thromboelastography. </w:t>
      </w:r>
      <w:r>
        <w:rPr>
          <w:rFonts w:hint="default" w:ascii="Arial" w:hAnsi="Arial" w:cs="Arial"/>
          <w:sz w:val="18"/>
          <w:szCs w:val="18"/>
          <w:lang w:val="en-PH"/>
        </w:rPr>
        <w:t>J Hepatol 2012; 56: 129-136</w:t>
      </w:r>
    </w:p>
    <w:p>
      <w:pPr>
        <w:spacing w:line="200" w:lineRule="exact"/>
        <w:jc w:val="both"/>
        <w:rPr>
          <w:rFonts w:hint="default" w:ascii="Arial" w:hAnsi="Arial" w:cs="Arial"/>
          <w:sz w:val="18"/>
          <w:szCs w:val="18"/>
        </w:rPr>
      </w:pPr>
    </w:p>
    <w:p>
      <w:pPr>
        <w:spacing w:line="200" w:lineRule="exact"/>
        <w:jc w:val="both"/>
        <w:rPr>
          <w:rFonts w:hint="default" w:ascii="Arial" w:hAnsi="Arial" w:cs="Arial"/>
          <w:sz w:val="18"/>
          <w:szCs w:val="18"/>
        </w:rPr>
        <w:sectPr>
          <w:type w:val="continuous"/>
          <w:pgSz w:w="11910" w:h="16840"/>
          <w:pgMar w:top="1740" w:right="600" w:bottom="840" w:left="620" w:header="720" w:footer="720" w:gutter="0"/>
          <w:cols w:equalWidth="0" w:num="2">
            <w:col w:w="5214" w:space="138"/>
            <w:col w:w="5338"/>
          </w:cols>
        </w:sectPr>
      </w:pPr>
    </w:p>
    <w:p>
      <w:pPr>
        <w:pStyle w:val="6"/>
        <w:rPr>
          <w:rFonts w:hint="default" w:ascii="Arial" w:hAnsi="Arial" w:cs="Arial"/>
          <w:sz w:val="18"/>
          <w:szCs w:val="18"/>
        </w:rPr>
      </w:pPr>
    </w:p>
    <w:p>
      <w:pPr>
        <w:pStyle w:val="6"/>
        <w:rPr>
          <w:rFonts w:hint="default" w:ascii="Arial" w:hAnsi="Arial" w:cs="Arial"/>
          <w:sz w:val="18"/>
          <w:szCs w:val="18"/>
        </w:rPr>
      </w:pPr>
    </w:p>
    <w:p>
      <w:pPr>
        <w:pStyle w:val="6"/>
        <w:spacing w:before="5" w:after="1"/>
        <w:rPr>
          <w:rFonts w:hint="default" w:ascii="Arial" w:hAnsi="Arial" w:cs="Arial"/>
          <w:sz w:val="18"/>
          <w:szCs w:val="18"/>
        </w:rPr>
      </w:pPr>
    </w:p>
    <w:p>
      <w:pPr>
        <w:pStyle w:val="6"/>
        <w:spacing w:line="40" w:lineRule="exact"/>
        <w:ind w:left="2202"/>
        <w:rPr>
          <w:rFonts w:hint="default" w:ascii="Arial" w:hAnsi="Arial" w:cs="Arial"/>
          <w:sz w:val="18"/>
          <w:szCs w:val="18"/>
        </w:rPr>
      </w:pPr>
      <w:r>
        <w:rPr>
          <w:rFonts w:hint="default" w:ascii="Arial" w:hAnsi="Arial" w:cs="Arial"/>
          <w:sz w:val="18"/>
          <w:szCs w:val="18"/>
        </w:rPr>
        <mc:AlternateContent>
          <mc:Choice Requires="wpg">
            <w:drawing>
              <wp:inline distT="0" distB="0" distL="114300" distR="114300">
                <wp:extent cx="3975735" cy="25400"/>
                <wp:effectExtent l="0" t="0" r="0" b="0"/>
                <wp:docPr id="7" name="Group 4"/>
                <wp:cNvGraphicFramePr/>
                <a:graphic xmlns:a="http://schemas.openxmlformats.org/drawingml/2006/main">
                  <a:graphicData uri="http://schemas.microsoft.com/office/word/2010/wordprocessingGroup">
                    <wpg:wgp>
                      <wpg:cNvGrpSpPr/>
                      <wpg:grpSpPr>
                        <a:xfrm>
                          <a:off x="0" y="0"/>
                          <a:ext cx="3975735" cy="25400"/>
                          <a:chOff x="0" y="0"/>
                          <a:chExt cx="6261" cy="40"/>
                        </a:xfrm>
                      </wpg:grpSpPr>
                      <wps:wsp>
                        <wps:cNvPr id="6" name="Line 5"/>
                        <wps:cNvCnPr/>
                        <wps:spPr>
                          <a:xfrm>
                            <a:off x="20" y="20"/>
                            <a:ext cx="6221" cy="0"/>
                          </a:xfrm>
                          <a:prstGeom prst="line">
                            <a:avLst/>
                          </a:prstGeom>
                          <a:ln w="25400" cap="flat" cmpd="sng">
                            <a:solidFill>
                              <a:srgbClr val="004080"/>
                            </a:solidFill>
                            <a:prstDash val="solid"/>
                            <a:headEnd type="none" w="med" len="med"/>
                            <a:tailEnd type="none" w="med" len="med"/>
                          </a:ln>
                        </wps:spPr>
                        <wps:bodyPr upright="1"/>
                      </wps:wsp>
                    </wpg:wgp>
                  </a:graphicData>
                </a:graphic>
              </wp:inline>
            </w:drawing>
          </mc:Choice>
          <mc:Fallback>
            <w:pict>
              <v:group id="Group 4" o:spid="_x0000_s1026" o:spt="203" style="height:2pt;width:313.05pt;" coordsize="6261,40" o:gfxdata="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CZJRBh1AAAAAMB&#10;AAAPAAAAAAAAAAEAIAAAACIAAABkcnMvZG93bnJldi54bWxQSwECFAAUAAAACACHTuJAlOgjvh8C&#10;AACxBAAADgAAAAAAAAABACAAAAAjAQAAZHJzL2Uyb0RvYy54bWxQSwUGAAAAAAYABgBZAQAAtAUA&#10;AAAA&#10;">
                <o:lock v:ext="edit" aspectratio="f"/>
                <v:line id="Line 5" o:spid="_x0000_s1026" o:spt="20" style="position:absolute;left:20;top:20;height:0;width:6221;" filled="f" stroked="t" coordsize="21600,21600" o:gfxdata="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M5FfXi5AAAA2gAA&#10;AA8AAAAAAAAAAQAgAAAAIgAAAGRycy9kb3ducmV2LnhtbFBLAQIUABQAAAAIAIdO4kAzLwWeOwAA&#10;ADkAAAAQAAAAAAAAAAEAIAAAAAgBAABkcnMvc2hhcGV4bWwueG1sUEsFBgAAAAAGAAYAWwEAALID&#10;AAAAAA==&#10;">
                  <v:fill on="f" focussize="0,0"/>
                  <v:stroke weight="2pt" color="#004080" joinstyle="round"/>
                  <v:imagedata o:title=""/>
                  <o:lock v:ext="edit" aspectratio="f"/>
                </v:line>
                <w10:wrap type="none"/>
                <w10:anchorlock/>
              </v:group>
            </w:pict>
          </mc:Fallback>
        </mc:AlternateContent>
      </w:r>
    </w:p>
    <w:p>
      <w:pPr>
        <w:spacing w:before="92"/>
        <w:ind w:right="4234"/>
        <w:jc w:val="center"/>
        <w:rPr>
          <w:rFonts w:hint="default" w:ascii="Arial" w:hAnsi="Arial" w:cs="Arial"/>
          <w:sz w:val="18"/>
          <w:szCs w:val="18"/>
        </w:rPr>
      </w:pPr>
      <w:r>
        <w:rPr>
          <w:rFonts w:hint="default" w:ascii="Arial" w:hAnsi="Arial" w:cs="Arial"/>
          <w:sz w:val="18"/>
          <w:szCs w:val="18"/>
          <w:lang w:val="en-PH"/>
        </w:rPr>
        <w:drawing>
          <wp:anchor distT="0" distB="0" distL="114300" distR="114300" simplePos="0" relativeHeight="251659264" behindDoc="1" locked="0" layoutInCell="1" allowOverlap="1">
            <wp:simplePos x="0" y="0"/>
            <wp:positionH relativeFrom="column">
              <wp:posOffset>160020</wp:posOffset>
            </wp:positionH>
            <wp:positionV relativeFrom="paragraph">
              <wp:posOffset>225425</wp:posOffset>
            </wp:positionV>
            <wp:extent cx="708660" cy="710565"/>
            <wp:effectExtent l="0" t="0" r="15240" b="13335"/>
            <wp:wrapThrough wrapText="bothSides">
              <wp:wrapPolygon>
                <wp:start x="0" y="0"/>
                <wp:lineTo x="0" y="20847"/>
                <wp:lineTo x="20903" y="20847"/>
                <wp:lineTo x="20903" y="0"/>
                <wp:lineTo x="0" y="0"/>
              </wp:wrapPolygon>
            </wp:wrapThrough>
            <wp:docPr id="4" name="Picture 4" descr="Ching 2x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ing 2x2"/>
                    <pic:cNvPicPr>
                      <a:picLocks noChangeAspect="1"/>
                    </pic:cNvPicPr>
                  </pic:nvPicPr>
                  <pic:blipFill>
                    <a:blip r:embed="rId6"/>
                    <a:stretch>
                      <a:fillRect/>
                    </a:stretch>
                  </pic:blipFill>
                  <pic:spPr>
                    <a:xfrm>
                      <a:off x="0" y="0"/>
                      <a:ext cx="708660" cy="710565"/>
                    </a:xfrm>
                    <a:prstGeom prst="rect">
                      <a:avLst/>
                    </a:prstGeom>
                  </pic:spPr>
                </pic:pic>
              </a:graphicData>
            </a:graphic>
          </wp:anchor>
        </w:drawing>
      </w:r>
      <w:r>
        <w:rPr>
          <w:rFonts w:hint="default" w:ascii="Arial" w:hAnsi="Arial" w:cs="Arial"/>
          <w:color w:val="BF5A14"/>
          <w:sz w:val="18"/>
          <w:szCs w:val="18"/>
        </w:rPr>
        <w:t>Biography</w:t>
      </w:r>
    </w:p>
    <w:p>
      <w:pPr>
        <w:spacing w:before="41" w:line="154" w:lineRule="exact"/>
        <w:ind w:left="1540" w:leftChars="0" w:right="231" w:firstLine="0" w:firstLineChars="0"/>
        <w:jc w:val="both"/>
        <w:rPr>
          <w:rFonts w:hint="default" w:ascii="Arial" w:hAnsi="Arial" w:cs="Arial"/>
          <w:sz w:val="18"/>
          <w:szCs w:val="18"/>
          <w:lang w:val="en-PH"/>
        </w:rPr>
      </w:pPr>
      <w:r>
        <w:rPr>
          <w:rFonts w:hint="default" w:ascii="Arial" w:hAnsi="Arial" w:cs="Arial"/>
          <w:sz w:val="18"/>
          <w:szCs w:val="18"/>
          <w:lang w:val="en-PH"/>
        </w:rPr>
        <w:t xml:space="preserve">Maria Elizabeth Ching is a third year internal medicine resident in St. Luke’s Medical Center, Global City. She graduated at University of the Philippines-Los Banos, Bachelor of Science in Biology with magna cum laude honors. She then finished doctor of medicine degree from University of the Philippines-Manila, College of Medicine, as the national university, considered as the country’s top training institution in medicine. Consistently inclined in the field of research, she presented her Completed thesis dissertation on Genetically Modified Line of Tomato in Asian Vegetable Research and Development Center (AVRDC), Tainan, Taiwan. She also presented her research study entitled Computational Modeling of H275Y and N295S mutations reveals novel interactions between influenza neuraminidase and oseltamivir, 22nd European Students’ Conference,Charité Universitätsmedizin, Berlin, Germany (September 21-24, 2011). She is open to exploring gastroenterology as a file of specialization after medical residency. </w:t>
      </w:r>
    </w:p>
    <w:p>
      <w:pPr>
        <w:spacing w:before="41" w:line="154" w:lineRule="exact"/>
        <w:ind w:left="1540" w:leftChars="0" w:right="231" w:firstLine="0" w:firstLineChars="0"/>
        <w:jc w:val="both"/>
        <w:rPr>
          <w:rFonts w:hint="default" w:ascii="Arial" w:hAnsi="Arial" w:cs="Arial"/>
          <w:sz w:val="18"/>
          <w:szCs w:val="18"/>
          <w:lang w:val="en-PH"/>
        </w:rPr>
      </w:pPr>
    </w:p>
    <w:p>
      <w:pPr>
        <w:spacing w:before="41" w:line="154" w:lineRule="exact"/>
        <w:ind w:left="1540" w:leftChars="0" w:right="231" w:firstLine="0" w:firstLineChars="0"/>
        <w:jc w:val="center"/>
        <w:rPr>
          <w:rFonts w:hint="default" w:ascii="Arial" w:hAnsi="Arial" w:cs="Arial"/>
          <w:sz w:val="18"/>
          <w:szCs w:val="18"/>
        </w:rPr>
      </w:pPr>
      <w:r>
        <w:rPr>
          <w:rFonts w:hint="default" w:ascii="Arial" w:hAnsi="Arial" w:cs="Arial"/>
          <w:sz w:val="18"/>
          <w:szCs w:val="18"/>
        </w:rPr>
        <w:t xml:space="preserve">Email: </w:t>
      </w:r>
      <w:r>
        <w:rPr>
          <w:rFonts w:hint="default" w:ascii="Arial" w:hAnsi="Arial" w:cs="Arial"/>
          <w:color w:val="004080"/>
          <w:sz w:val="18"/>
          <w:szCs w:val="18"/>
          <w:lang w:val="en-PH"/>
        </w:rPr>
        <w:t>mariaelizabethching@yahoo.com</w:t>
      </w:r>
    </w:p>
    <w:p>
      <w:pPr>
        <w:pStyle w:val="6"/>
        <w:spacing w:before="2"/>
        <w:rPr>
          <w:rFonts w:hint="default" w:ascii="Arial" w:hAnsi="Arial" w:cs="Arial"/>
          <w:sz w:val="18"/>
          <w:szCs w:val="18"/>
          <w:lang w:val="en-PH"/>
        </w:rPr>
      </w:pPr>
      <w:r>
        <w:rPr>
          <w:rFonts w:hint="default" w:ascii="Arial" w:hAnsi="Arial" w:cs="Arial"/>
          <w:sz w:val="18"/>
          <w:szCs w:val="18"/>
        </w:rPr>
        <mc:AlternateContent>
          <mc:Choice Requires="wpg">
            <w:drawing>
              <wp:anchor distT="0" distB="0" distL="114300" distR="114300" simplePos="0" relativeHeight="251658240" behindDoc="0" locked="0" layoutInCell="1" allowOverlap="1">
                <wp:simplePos x="0" y="0"/>
                <wp:positionH relativeFrom="column">
                  <wp:posOffset>1412875</wp:posOffset>
                </wp:positionH>
                <wp:positionV relativeFrom="paragraph">
                  <wp:posOffset>82550</wp:posOffset>
                </wp:positionV>
                <wp:extent cx="3975735" cy="25400"/>
                <wp:effectExtent l="0" t="0" r="0" b="0"/>
                <wp:wrapSquare wrapText="bothSides"/>
                <wp:docPr id="9" name="Group 8"/>
                <wp:cNvGraphicFramePr/>
                <a:graphic xmlns:a="http://schemas.openxmlformats.org/drawingml/2006/main">
                  <a:graphicData uri="http://schemas.microsoft.com/office/word/2010/wordprocessingGroup">
                    <wpg:wgp>
                      <wpg:cNvGrpSpPr/>
                      <wpg:grpSpPr>
                        <a:xfrm>
                          <a:off x="0" y="0"/>
                          <a:ext cx="3975735" cy="25400"/>
                          <a:chOff x="0" y="0"/>
                          <a:chExt cx="6261" cy="40"/>
                        </a:xfrm>
                      </wpg:grpSpPr>
                      <wps:wsp>
                        <wps:cNvPr id="8" name="Line 9"/>
                        <wps:cNvCnPr/>
                        <wps:spPr>
                          <a:xfrm>
                            <a:off x="20" y="20"/>
                            <a:ext cx="6221" cy="0"/>
                          </a:xfrm>
                          <a:prstGeom prst="line">
                            <a:avLst/>
                          </a:prstGeom>
                          <a:ln w="25400" cap="flat" cmpd="sng">
                            <a:solidFill>
                              <a:srgbClr val="004080"/>
                            </a:solidFill>
                            <a:prstDash val="solid"/>
                            <a:headEnd type="none" w="med" len="med"/>
                            <a:tailEnd type="none" w="med" len="med"/>
                          </a:ln>
                        </wps:spPr>
                        <wps:bodyPr upright="1"/>
                      </wps:wsp>
                    </wpg:wgp>
                  </a:graphicData>
                </a:graphic>
              </wp:anchor>
            </w:drawing>
          </mc:Choice>
          <mc:Fallback>
            <w:pict>
              <v:group id="Group 8" o:spid="_x0000_s1026" o:spt="203" style="position:absolute;left:0pt;margin-left:111.25pt;margin-top:6.5pt;height:2pt;width:313.05pt;mso-wrap-distance-bottom:0pt;mso-wrap-distance-left:9pt;mso-wrap-distance-right:9pt;mso-wrap-distance-top:0pt;z-index:251658240;mso-width-relative:page;mso-height-relative:page;" coordsize="6261,40" o:gfxdata="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BbOI&#10;a9kAAAAJAQAADwAAAAAAAAABACAAAAAiAAAAZHJzL2Rvd25yZXYueG1sUEsBAhQAFAAAAAgAh07i&#10;QEURkbUhAgAAsQQAAA4AAAAAAAAAAQAgAAAAKAEAAGRycy9lMm9Eb2MueG1sUEsFBgAAAAAGAAYA&#10;WQEAALsFAAAAAA==&#10;">
                <o:lock v:ext="edit" aspectratio="f"/>
                <v:line id="Line 9" o:spid="_x0000_s1026" o:spt="20" style="position:absolute;left:20;top:20;height:0;width:6221;" filled="f" stroked="t" coordsize="21600,21600" o:gfxdata="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QlkyRtwAAANoAAAAP&#10;AAAAAAAAAAEAIAAAACIAAABkcnMvZG93bnJldi54bWxQSwECFAAUAAAACACHTuJAMy8FnjsAAAA5&#10;AAAAEAAAAAAAAAABACAAAAAGAQAAZHJzL3NoYXBleG1sLnhtbFBLBQYAAAAABgAGAFsBAACwAwAA&#10;AAA=&#10;">
                  <v:fill on="f" focussize="0,0"/>
                  <v:stroke weight="2pt" color="#004080" joinstyle="round"/>
                  <v:imagedata o:title=""/>
                  <o:lock v:ext="edit" aspectratio="f"/>
                </v:line>
                <w10:wrap type="square"/>
              </v:group>
            </w:pict>
          </mc:Fallback>
        </mc:AlternateContent>
      </w:r>
    </w:p>
    <w:sectPr>
      <w:pgSz w:w="11910" w:h="16840"/>
      <w:pgMar w:top="1740" w:right="580" w:bottom="840" w:left="620" w:header="541" w:footer="642"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43"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2AFF" w:usb1="C000247B" w:usb2="00000009" w:usb3="00000000" w:csb0="200001FF" w:csb1="00000000"/>
  </w:font>
  <w:font w:name="Calibri">
    <w:panose1 w:val="020F0502020204030204"/>
    <w:charset w:val="86"/>
    <w:family w:val="swiss"/>
    <w:pitch w:val="default"/>
    <w:sig w:usb0="E0002AFF" w:usb1="C000247B" w:usb2="00000009" w:usb3="00000000" w:csb0="200001FF" w:csb1="00000000"/>
  </w:font>
  <w:font w:name="Tw Cen MT">
    <w:panose1 w:val="020B0602020104020603"/>
    <w:charset w:val="00"/>
    <w:family w:val="swiss"/>
    <w:pitch w:val="default"/>
    <w:sig w:usb0="00000003" w:usb1="00000000" w:usb2="00000000" w:usb3="00000000" w:csb0="20000003" w:csb1="00000000"/>
  </w:font>
  <w:font w:name="Minion Pro">
    <w:altName w:val="Cambria Math"/>
    <w:panose1 w:val="00000000000000000000"/>
    <w:charset w:val="00"/>
    <w:family w:val="roman"/>
    <w:pitch w:val="default"/>
    <w:sig w:usb0="00000000" w:usb1="00000000" w:usb2="00000000" w:usb3="00000000" w:csb0="0000019F" w:csb1="00000000"/>
  </w:font>
  <w:font w:name="Tahoma">
    <w:panose1 w:val="020B0604030504040204"/>
    <w:charset w:val="00"/>
    <w:family w:val="swiss"/>
    <w:pitch w:val="default"/>
    <w:sig w:usb0="E1002EFF" w:usb1="C000605B" w:usb2="00000029" w:usb3="00000000" w:csb0="200101FF" w:csb1="20280000"/>
  </w:font>
  <w:font w:name="Myriad Pro">
    <w:altName w:val="Corbel"/>
    <w:panose1 w:val="00000000000000000000"/>
    <w:charset w:val="00"/>
    <w:family w:val="swiss"/>
    <w:pitch w:val="default"/>
    <w:sig w:usb0="00000000" w:usb1="00000000" w:usb2="00000000" w:usb3="00000000" w:csb0="0000019F" w:csb1="00000000"/>
  </w:font>
  <w:font w:name="Impact">
    <w:panose1 w:val="020B0806030902050204"/>
    <w:charset w:val="00"/>
    <w:family w:val="swiss"/>
    <w:pitch w:val="default"/>
    <w:sig w:usb0="00000287" w:usb1="00000000" w:usb2="00000000" w:usb3="00000000" w:csb0="2000009F" w:csb1="DFD70000"/>
  </w:font>
  <w:font w:name="Corbel">
    <w:panose1 w:val="020B0503020204020204"/>
    <w:charset w:val="00"/>
    <w:family w:val="auto"/>
    <w:pitch w:val="default"/>
    <w:sig w:usb0="A00002EF" w:usb1="4000A44B" w:usb2="00000000" w:usb3="00000000" w:csb0="2000019F" w:csb1="00000000"/>
  </w:font>
  <w:font w:name="Cambria Math">
    <w:panose1 w:val="02040503050406030204"/>
    <w:charset w:val="00"/>
    <w:family w:val="auto"/>
    <w:pitch w:val="default"/>
    <w:sig w:usb0="E00002FF" w:usb1="420024FF" w:usb2="00000000" w:usb3="00000000" w:csb0="2000019F" w:csb1="00000000"/>
  </w:font>
  <w:font w:name="MS PGothic">
    <w:panose1 w:val="020B0600070205080204"/>
    <w:charset w:val="80"/>
    <w:family w:val="auto"/>
    <w:pitch w:val="default"/>
    <w:sig w:usb0="E00002FF" w:usb1="6AC7FDFB" w:usb2="08000012" w:usb3="00000000" w:csb0="4002009F" w:csb1="DFD70000"/>
  </w:font>
  <w:font w:name="BookAntiqua">
    <w:altName w:val="Segoe Print"/>
    <w:panose1 w:val="00000000000000000000"/>
    <w:charset w:val="01"/>
    <w:family w:val="swiss"/>
    <w:pitch w:val="default"/>
    <w:sig w:usb0="00000000" w:usb1="00000000" w:usb2="5FA5C378" w:usb3="07B33560" w:csb0="0911E058" w:csb1="00199CDC"/>
  </w:font>
  <w:font w:name="Segoe Print">
    <w:panose1 w:val="02000600000000000000"/>
    <w:charset w:val="00"/>
    <w:family w:val="auto"/>
    <w:pitch w:val="default"/>
    <w:sig w:usb0="0000028F" w:usb1="00000000" w:usb2="00000000" w:usb3="00000000" w:csb0="2000009F" w:csb1="47010000"/>
  </w:font>
  <w:font w:name="Segoe Print">
    <w:panose1 w:val="02000600000000000000"/>
    <w:charset w:val="01"/>
    <w:family w:val="swiss"/>
    <w:pitch w:val="default"/>
    <w:sig w:usb0="0000028F" w:usb1="00000000" w:usb2="00000000" w:usb3="00000000" w:csb0="2000009F" w:csb1="47010000"/>
  </w:font>
  <w:font w:name="BookAntiqua">
    <w:altName w:val="Segoe Print"/>
    <w:panose1 w:val="00000000000000000000"/>
    <w:charset w:val="00"/>
    <w:family w:val="auto"/>
    <w:pitch w:val="default"/>
    <w:sig w:usb0="00000000" w:usb1="00000000" w:usb2="00000000" w:usb3="00000000" w:csb0="00000000" w:csb1="00000000"/>
  </w:font>
  <w:font w:name="Bookman Old Style">
    <w:panose1 w:val="02050604050505020204"/>
    <w:charset w:val="00"/>
    <w:family w:val="auto"/>
    <w:pitch w:val="default"/>
    <w:sig w:usb0="00000287" w:usb1="00000000" w:usb2="00000000" w:usb3="00000000" w:csb0="2000009F" w:csb1="DFD70000"/>
  </w:font>
  <w:font w:name="Bookshelf Symbol 7">
    <w:panose1 w:val="05010101010101010101"/>
    <w:charset w:val="00"/>
    <w:family w:val="auto"/>
    <w:pitch w:val="default"/>
    <w:sig w:usb0="00000000" w:usb1="00000000" w:usb2="00000000" w:usb3="00000000" w:csb0="80000000" w:csb1="00000000"/>
  </w:font>
  <w:font w:name="Broadway">
    <w:panose1 w:val="04040905080B02020502"/>
    <w:charset w:val="00"/>
    <w:family w:val="auto"/>
    <w:pitch w:val="default"/>
    <w:sig w:usb0="00000003" w:usb1="00000000" w:usb2="00000000" w:usb3="00000000" w:csb0="20000001" w:csb1="00000000"/>
  </w:font>
  <w:font w:name="Britannic Bold">
    <w:panose1 w:val="020B0903060703020204"/>
    <w:charset w:val="00"/>
    <w:family w:val="auto"/>
    <w:pitch w:val="default"/>
    <w:sig w:usb0="00000003" w:usb1="00000000" w:usb2="00000000" w:usb3="00000000" w:csb0="20000001" w:csb1="00000000"/>
  </w:font>
  <w:font w:name="Bradley Hand ITC">
    <w:panose1 w:val="03070402050302030203"/>
    <w:charset w:val="00"/>
    <w:family w:val="auto"/>
    <w:pitch w:val="default"/>
    <w:sig w:usb0="00000003" w:usb1="00000000" w:usb2="00000000" w:usb3="00000000" w:csb0="20000001" w:csb1="00000000"/>
  </w:font>
  <w:font w:name="Pristina">
    <w:panose1 w:val="03060402040406080204"/>
    <w:charset w:val="00"/>
    <w:family w:val="auto"/>
    <w:pitch w:val="default"/>
    <w:sig w:usb0="00000003" w:usb1="00000000" w:usb2="00000000" w:usb3="00000000" w:csb0="20000001" w:csb1="00000000"/>
  </w:font>
  <w:font w:name="Maiandra GD">
    <w:panose1 w:val="020E0502030308020204"/>
    <w:charset w:val="00"/>
    <w:family w:val="auto"/>
    <w:pitch w:val="default"/>
    <w:sig w:usb0="00000003" w:usb1="00000000" w:usb2="00000000" w:usb3="00000000" w:csb0="20000001" w:csb1="00000000"/>
  </w:font>
  <w:font w:name="Gigi">
    <w:panose1 w:val="04040504061007020D02"/>
    <w:charset w:val="00"/>
    <w:family w:val="auto"/>
    <w:pitch w:val="default"/>
    <w:sig w:usb0="00000003" w:usb1="00000000" w:usb2="00000000" w:usb3="00000000" w:csb0="20000001" w:csb1="00000000"/>
  </w:font>
  <w:font w:name="FZShuTi">
    <w:panose1 w:val="02010601030101010101"/>
    <w:charset w:val="86"/>
    <w:family w:val="auto"/>
    <w:pitch w:val="default"/>
    <w:sig w:usb0="00000003" w:usb1="080E0000" w:usb2="00000000" w:usb3="00000000" w:csb0="00040000" w:csb1="00000000"/>
  </w:font>
  <w:font w:name="Malgun Gothic">
    <w:panose1 w:val="020B0503020000020004"/>
    <w:charset w:val="81"/>
    <w:family w:val="auto"/>
    <w:pitch w:val="default"/>
    <w:sig w:usb0="9000002F" w:usb1="29D77CFB" w:usb2="00000012" w:usb3="00000000" w:csb0="00080001" w:csb1="00000000"/>
  </w:font>
  <w:font w:name="Microsoft JhengHei UI">
    <w:panose1 w:val="020B0604030504040204"/>
    <w:charset w:val="88"/>
    <w:family w:val="auto"/>
    <w:pitch w:val="default"/>
    <w:sig w:usb0="000002A7" w:usb1="28CF4400" w:usb2="00000016" w:usb3="00000000" w:csb0="00100009" w:csb1="00000000"/>
  </w:font>
  <w:font w:name="Microsoft JhengHei Light">
    <w:panose1 w:val="020B0304030504040204"/>
    <w:charset w:val="88"/>
    <w:family w:val="auto"/>
    <w:pitch w:val="default"/>
    <w:sig w:usb0="800002A7" w:usb1="28CF4400" w:usb2="00000016" w:usb3="00000000" w:csb0="00100009" w:csb1="00000000"/>
  </w:font>
  <w:font w:name="Microsoft JhengHei">
    <w:panose1 w:val="020B0604030504040204"/>
    <w:charset w:val="88"/>
    <w:family w:val="auto"/>
    <w:pitch w:val="default"/>
    <w:sig w:usb0="000002A7" w:usb1="28CF4400" w:usb2="00000016" w:usb3="00000000" w:csb0="00100009" w:csb1="00000000"/>
  </w:font>
  <w:font w:name="Malgun Gothic Semilight">
    <w:panose1 w:val="020B0502040204020203"/>
    <w:charset w:val="86"/>
    <w:family w:val="auto"/>
    <w:pitch w:val="default"/>
    <w:sig w:usb0="900002AF" w:usb1="01D77CFB" w:usb2="00000012" w:usb3="00000000" w:csb0="203E01BD" w:csb1="D7FF0000"/>
  </w:font>
  <w:font w:name="Viner Hand ITC">
    <w:panose1 w:val="03070502030502020203"/>
    <w:charset w:val="00"/>
    <w:family w:val="auto"/>
    <w:pitch w:val="default"/>
    <w:sig w:usb0="00000003" w:usb1="00000000" w:usb2="00000000" w:usb3="00000000" w:csb0="20000001" w:csb1="00000000"/>
  </w:font>
  <w:font w:name="Verdana">
    <w:panose1 w:val="020B0604030504040204"/>
    <w:charset w:val="00"/>
    <w:family w:val="auto"/>
    <w:pitch w:val="default"/>
    <w:sig w:usb0="A10006FF" w:usb1="4000205B" w:usb2="00000010" w:usb3="00000000" w:csb0="2000019F" w:csb1="00000000"/>
  </w:font>
  <w:font w:name="Tw Cen MT Condensed Extra Bold">
    <w:panose1 w:val="020B0803020202020204"/>
    <w:charset w:val="00"/>
    <w:family w:val="auto"/>
    <w:pitch w:val="default"/>
    <w:sig w:usb0="00000003" w:usb1="00000000" w:usb2="00000000" w:usb3="00000000" w:csb0="20000003" w:csb1="00000000"/>
  </w:font>
  <w:font w:name="Tw Cen MT Condensed">
    <w:panose1 w:val="020B0606020104020203"/>
    <w:charset w:val="00"/>
    <w:family w:val="auto"/>
    <w:pitch w:val="default"/>
    <w:sig w:usb0="00000003" w:usb1="00000000" w:usb2="00000000" w:usb3="00000000" w:csb0="20000003" w:csb1="00000000"/>
  </w:font>
  <w:font w:name="Roboto Slab">
    <w:altName w:val="Segoe Print"/>
    <w:panose1 w:val="00000000000000000000"/>
    <w:charset w:val="00"/>
    <w:family w:val="auto"/>
    <w:pitch w:val="default"/>
    <w:sig w:usb0="00000000" w:usb1="00000000" w:usb2="00000000" w:usb3="00000000" w:csb0="00000000" w:csb1="00000000"/>
  </w:font>
  <w:font w:name="Michroma">
    <w:altName w:val="Segoe Print"/>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0"/>
      </w:rPr>
    </w:pPr>
    <w:bookmarkStart w:id="0" w:name="_GoBack"/>
    <w:bookmarkEnd w:id="0"/>
    <w:r>
      <mc:AlternateContent>
        <mc:Choice Requires="wps">
          <w:drawing>
            <wp:anchor distT="0" distB="0" distL="114300" distR="114300" simplePos="0" relativeHeight="503311360" behindDoc="1" locked="0" layoutInCell="1" allowOverlap="1">
              <wp:simplePos x="0" y="0"/>
              <wp:positionH relativeFrom="page">
                <wp:posOffset>1130300</wp:posOffset>
              </wp:positionH>
              <wp:positionV relativeFrom="page">
                <wp:posOffset>10147935</wp:posOffset>
              </wp:positionV>
              <wp:extent cx="5554345" cy="427355"/>
              <wp:effectExtent l="0" t="0" r="0" b="0"/>
              <wp:wrapNone/>
              <wp:docPr id="13" name="Text Box 2"/>
              <wp:cNvGraphicFramePr/>
              <a:graphic xmlns:a="http://schemas.openxmlformats.org/drawingml/2006/main">
                <a:graphicData uri="http://schemas.microsoft.com/office/word/2010/wordprocessingShape">
                  <wps:wsp>
                    <wps:cNvSpPr txBox="1"/>
                    <wps:spPr>
                      <a:xfrm>
                        <a:off x="0" y="0"/>
                        <a:ext cx="5554345" cy="427355"/>
                      </a:xfrm>
                      <a:prstGeom prst="rect">
                        <a:avLst/>
                      </a:prstGeom>
                      <a:noFill/>
                      <a:ln w="9525">
                        <a:noFill/>
                      </a:ln>
                    </wps:spPr>
                    <wps:txbx>
                      <w:txbxContent>
                        <w:p>
                          <w:pPr>
                            <w:spacing w:before="29"/>
                            <w:jc w:val="center"/>
                            <w:rPr>
                              <w:rFonts w:hint="default" w:ascii="Impact"/>
                              <w:color w:val="0000FF"/>
                              <w:sz w:val="24"/>
                            </w:rPr>
                          </w:pPr>
                          <w:r>
                            <w:rPr>
                              <w:rFonts w:hint="default" w:ascii="Impact"/>
                              <w:color w:val="0000FF"/>
                              <w:sz w:val="24"/>
                            </w:rPr>
                            <w:t>13th International Conference  on Clinical Gastroenterology and Hepatology</w:t>
                          </w:r>
                        </w:p>
                        <w:p>
                          <w:pPr>
                            <w:spacing w:before="29"/>
                            <w:jc w:val="center"/>
                            <w:rPr>
                              <w:rFonts w:ascii="Arial"/>
                              <w:color w:val="0000FF"/>
                              <w:sz w:val="16"/>
                              <w:lang w:val="en-PH"/>
                            </w:rPr>
                          </w:pPr>
                          <w:r>
                            <w:rPr>
                              <w:rFonts w:hint="default" w:ascii="Arial"/>
                              <w:color w:val="0000FF"/>
                              <w:sz w:val="16"/>
                              <w:lang w:val="en-PH"/>
                            </w:rPr>
                            <w:t>December 7-8, 2017, Madrid, Spain</w:t>
                          </w:r>
                        </w:p>
                      </w:txbxContent>
                    </wps:txbx>
                    <wps:bodyPr vert="horz" lIns="0" tIns="0" rIns="0" bIns="0" anchor="t" upright="1"/>
                  </wps:wsp>
                </a:graphicData>
              </a:graphic>
            </wp:anchor>
          </w:drawing>
        </mc:Choice>
        <mc:Fallback>
          <w:pict>
            <v:shape id="Text Box 2" o:spid="_x0000_s1026" o:spt="202" type="#_x0000_t202" style="position:absolute;left:0pt;margin-left:89pt;margin-top:799.05pt;height:33.65pt;width:437.35pt;mso-position-horizontal-relative:page;mso-position-vertical-relative:page;z-index:-5120;mso-width-relative:page;mso-height-relative:page;" filled="f" stroked="f" coordsize="21600,21600" o:gfxdata="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">
              <v:fill on="f" focussize="0,0"/>
              <v:stroke on="f"/>
              <v:imagedata o:title=""/>
              <o:lock v:ext="edit" aspectratio="f"/>
              <v:textbox inset="0mm,0mm,0mm,0mm">
                <w:txbxContent>
                  <w:p>
                    <w:pPr>
                      <w:spacing w:before="29"/>
                      <w:jc w:val="center"/>
                      <w:rPr>
                        <w:rFonts w:hint="default" w:ascii="Impact"/>
                        <w:color w:val="0000FF"/>
                        <w:sz w:val="24"/>
                      </w:rPr>
                    </w:pPr>
                    <w:r>
                      <w:rPr>
                        <w:rFonts w:hint="default" w:ascii="Impact"/>
                        <w:color w:val="0000FF"/>
                        <w:sz w:val="24"/>
                      </w:rPr>
                      <w:t>13th International Conference  on Clinical Gastroenterology and Hepatology</w:t>
                    </w:r>
                  </w:p>
                  <w:p>
                    <w:pPr>
                      <w:spacing w:before="29"/>
                      <w:jc w:val="center"/>
                      <w:rPr>
                        <w:rFonts w:ascii="Arial"/>
                        <w:color w:val="0000FF"/>
                        <w:sz w:val="16"/>
                        <w:lang w:val="en-PH"/>
                      </w:rPr>
                    </w:pPr>
                    <w:r>
                      <w:rPr>
                        <w:rFonts w:hint="default" w:ascii="Arial"/>
                        <w:color w:val="0000FF"/>
                        <w:sz w:val="16"/>
                        <w:lang w:val="en-PH"/>
                      </w:rPr>
                      <w:t>December 7-8, 2017, Madrid, Spain</w:t>
                    </w:r>
                  </w:p>
                </w:txbxContent>
              </v:textbox>
            </v:shape>
          </w:pict>
        </mc:Fallback>
      </mc:AlternateContent>
    </w:r>
    <w:r>
      <mc:AlternateContent>
        <mc:Choice Requires="wps">
          <w:drawing>
            <wp:anchor distT="0" distB="0" distL="114300" distR="114300" simplePos="0" relativeHeight="503311360" behindDoc="1" locked="0" layoutInCell="1" allowOverlap="1">
              <wp:simplePos x="0" y="0"/>
              <wp:positionH relativeFrom="page">
                <wp:posOffset>444500</wp:posOffset>
              </wp:positionH>
              <wp:positionV relativeFrom="page">
                <wp:posOffset>10144760</wp:posOffset>
              </wp:positionV>
              <wp:extent cx="2136140" cy="248920"/>
              <wp:effectExtent l="0" t="0" r="0" b="0"/>
              <wp:wrapNone/>
              <wp:docPr id="12" name="Text Box 3"/>
              <wp:cNvGraphicFramePr/>
              <a:graphic xmlns:a="http://schemas.openxmlformats.org/drawingml/2006/main">
                <a:graphicData uri="http://schemas.microsoft.com/office/word/2010/wordprocessingShape">
                  <wps:wsp>
                    <wps:cNvSpPr txBox="1"/>
                    <wps:spPr>
                      <a:xfrm>
                        <a:off x="0" y="0"/>
                        <a:ext cx="2136140" cy="248920"/>
                      </a:xfrm>
                      <a:prstGeom prst="rect">
                        <a:avLst/>
                      </a:prstGeom>
                      <a:noFill/>
                      <a:ln w="9525">
                        <a:noFill/>
                      </a:ln>
                    </wps:spPr>
                    <wps:txbx>
                      <w:txbxContent>
                        <w:p>
                          <w:pPr>
                            <w:spacing w:before="8"/>
                            <w:ind w:left="20" w:right="-12"/>
                            <w:rPr>
                              <w:rFonts w:ascii="Arial"/>
                              <w:color w:val="0000FF"/>
                              <w:sz w:val="16"/>
                            </w:rPr>
                          </w:pPr>
                        </w:p>
                      </w:txbxContent>
                    </wps:txbx>
                    <wps:bodyPr lIns="0" tIns="0" rIns="0" bIns="0" upright="1"/>
                  </wps:wsp>
                </a:graphicData>
              </a:graphic>
            </wp:anchor>
          </w:drawing>
        </mc:Choice>
        <mc:Fallback>
          <w:pict>
            <v:shape id="Text Box 3" o:spid="_x0000_s1026" o:spt="202" type="#_x0000_t202" style="position:absolute;left:0pt;margin-left:35pt;margin-top:798.8pt;height:19.6pt;width:168.2pt;mso-position-horizontal-relative:page;mso-position-vertical-relative:page;z-index:-5120;mso-width-relative:page;mso-height-relative:page;" filled="f" stroked="f" coordsize="21600,21600" o:gfxdata="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">
              <v:fill on="f" focussize="0,0"/>
              <v:stroke on="f"/>
              <v:imagedata o:title=""/>
              <o:lock v:ext="edit" aspectratio="f"/>
              <v:textbox inset="0mm,0mm,0mm,0mm">
                <w:txbxContent>
                  <w:p>
                    <w:pPr>
                      <w:spacing w:before="8"/>
                      <w:ind w:left="20" w:right="-12"/>
                      <w:rPr>
                        <w:rFonts w:ascii="Arial"/>
                        <w:color w:val="0000FF"/>
                        <w:sz w:val="16"/>
                      </w:rPr>
                    </w:pPr>
                  </w:p>
                </w:txbxContent>
              </v:textbox>
            </v:shape>
          </w:pict>
        </mc:Fallback>
      </mc:AlternateContent>
    </w:r>
    <w:r>
      <mc:AlternateContent>
        <mc:Choice Requires="wps">
          <w:drawing>
            <wp:anchor distT="0" distB="0" distL="114300" distR="114300" simplePos="0" relativeHeight="503311360" behindDoc="1" locked="0" layoutInCell="1" allowOverlap="1">
              <wp:simplePos x="0" y="0"/>
              <wp:positionH relativeFrom="page">
                <wp:posOffset>5955030</wp:posOffset>
              </wp:positionH>
              <wp:positionV relativeFrom="page">
                <wp:posOffset>10144760</wp:posOffset>
              </wp:positionV>
              <wp:extent cx="1160780" cy="330835"/>
              <wp:effectExtent l="0" t="0" r="0" b="0"/>
              <wp:wrapNone/>
              <wp:docPr id="14" name="Text Box 1"/>
              <wp:cNvGraphicFramePr/>
              <a:graphic xmlns:a="http://schemas.openxmlformats.org/drawingml/2006/main">
                <a:graphicData uri="http://schemas.microsoft.com/office/word/2010/wordprocessingShape">
                  <wps:wsp>
                    <wps:cNvSpPr txBox="1"/>
                    <wps:spPr>
                      <a:xfrm>
                        <a:off x="0" y="0"/>
                        <a:ext cx="1160780" cy="330835"/>
                      </a:xfrm>
                      <a:prstGeom prst="rect">
                        <a:avLst/>
                      </a:prstGeom>
                      <a:noFill/>
                      <a:ln w="9525">
                        <a:noFill/>
                      </a:ln>
                    </wps:spPr>
                    <wps:txbx>
                      <w:txbxContent>
                        <w:p>
                          <w:pPr>
                            <w:spacing w:before="116"/>
                            <w:ind w:right="18"/>
                            <w:jc w:val="right"/>
                            <w:rPr>
                              <w:rFonts w:ascii="Minion Pro"/>
                              <w:color w:val="0000FF"/>
                              <w:sz w:val="16"/>
                            </w:rPr>
                          </w:pPr>
                        </w:p>
                      </w:txbxContent>
                    </wps:txbx>
                    <wps:bodyPr lIns="0" tIns="0" rIns="0" bIns="0" upright="1"/>
                  </wps:wsp>
                </a:graphicData>
              </a:graphic>
            </wp:anchor>
          </w:drawing>
        </mc:Choice>
        <mc:Fallback>
          <w:pict>
            <v:shape id="Text Box 1" o:spid="_x0000_s1026" o:spt="202" type="#_x0000_t202" style="position:absolute;left:0pt;margin-left:468.9pt;margin-top:798.8pt;height:26.05pt;width:91.4pt;mso-position-horizontal-relative:page;mso-position-vertical-relative:page;z-index:-5120;mso-width-relative:page;mso-height-relative:page;" filled="f" stroked="f" coordsize="21600,21600" o:gfxdata="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">
              <v:fill on="f" focussize="0,0"/>
              <v:stroke on="f"/>
              <v:imagedata o:title=""/>
              <o:lock v:ext="edit" aspectratio="f"/>
              <v:textbox inset="0mm,0mm,0mm,0mm">
                <w:txbxContent>
                  <w:p>
                    <w:pPr>
                      <w:spacing w:before="116"/>
                      <w:ind w:right="18"/>
                      <w:jc w:val="right"/>
                      <w:rPr>
                        <w:rFonts w:ascii="Minion Pro"/>
                        <w:color w:val="0000FF"/>
                        <w:sz w:val="16"/>
                      </w:rPr>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0"/>
      </w:rPr>
    </w:pPr>
    <w:r>
      <mc:AlternateContent>
        <mc:Choice Requires="wps">
          <w:drawing>
            <wp:anchor distT="0" distB="0" distL="114300" distR="114300" simplePos="0" relativeHeight="503311360" behindDoc="1" locked="0" layoutInCell="1" allowOverlap="1">
              <wp:simplePos x="0" y="0"/>
              <wp:positionH relativeFrom="page">
                <wp:posOffset>421005</wp:posOffset>
              </wp:positionH>
              <wp:positionV relativeFrom="page">
                <wp:posOffset>438785</wp:posOffset>
              </wp:positionV>
              <wp:extent cx="6926580" cy="930275"/>
              <wp:effectExtent l="0" t="0" r="0" b="0"/>
              <wp:wrapNone/>
              <wp:docPr id="11" name="Text Box 4"/>
              <wp:cNvGraphicFramePr/>
              <a:graphic xmlns:a="http://schemas.openxmlformats.org/drawingml/2006/main">
                <a:graphicData uri="http://schemas.microsoft.com/office/word/2010/wordprocessingShape">
                  <wps:wsp>
                    <wps:cNvSpPr txBox="1"/>
                    <wps:spPr>
                      <a:xfrm>
                        <a:off x="0" y="0"/>
                        <a:ext cx="6926580" cy="930275"/>
                      </a:xfrm>
                      <a:prstGeom prst="rect">
                        <a:avLst/>
                      </a:prstGeom>
                      <a:noFill/>
                      <a:ln w="9525">
                        <a:noFill/>
                      </a:ln>
                    </wps:spPr>
                    <wps:txbx>
                      <w:txbxContent>
                        <w:p>
                          <w:pPr>
                            <w:keepNext w:val="0"/>
                            <w:keepLines w:val="0"/>
                            <w:pageBreakBefore w:val="0"/>
                            <w:widowControl w:val="0"/>
                            <w:kinsoku/>
                            <w:wordWrap/>
                            <w:overflowPunct/>
                            <w:topLinePunct w:val="0"/>
                            <w:autoSpaceDE/>
                            <w:autoSpaceDN/>
                            <w:bidi w:val="0"/>
                            <w:adjustRightInd/>
                            <w:snapToGrid/>
                            <w:spacing w:line="240" w:lineRule="auto"/>
                            <w:ind w:left="23" w:leftChars="0" w:right="-11" w:rightChars="0" w:firstLine="0" w:firstLineChars="0"/>
                            <w:jc w:val="left"/>
                            <w:textAlignment w:val="auto"/>
                            <w:outlineLvl w:val="9"/>
                            <w:rPr>
                              <w:rFonts w:hint="default" w:ascii="Impact"/>
                              <w:color w:val="0000FF"/>
                              <w:sz w:val="36"/>
                              <w:szCs w:val="16"/>
                              <w:lang w:val="en-PH"/>
                            </w:rPr>
                          </w:pPr>
                          <w:r>
                            <w:rPr>
                              <w:rFonts w:hint="default" w:ascii="Impact"/>
                              <w:color w:val="0000FF"/>
                              <w:sz w:val="36"/>
                              <w:szCs w:val="16"/>
                              <w:lang w:val="en-PH"/>
                            </w:rPr>
                            <w:t>13</w:t>
                          </w:r>
                          <w:r>
                            <w:rPr>
                              <w:rFonts w:hint="default" w:ascii="Impact"/>
                              <w:color w:val="0000FF"/>
                              <w:sz w:val="36"/>
                              <w:szCs w:val="16"/>
                              <w:vertAlign w:val="superscript"/>
                              <w:lang w:val="en-PH"/>
                            </w:rPr>
                            <w:t>th</w:t>
                          </w:r>
                          <w:r>
                            <w:rPr>
                              <w:rFonts w:hint="default" w:ascii="Impact"/>
                              <w:color w:val="0000FF"/>
                              <w:sz w:val="36"/>
                              <w:szCs w:val="16"/>
                              <w:lang w:val="en-PH"/>
                            </w:rPr>
                            <w:t xml:space="preserve"> International Conference  on Clinical Gastroenterology and Hepatology</w:t>
                          </w:r>
                        </w:p>
                        <w:p>
                          <w:pPr>
                            <w:keepNext w:val="0"/>
                            <w:keepLines w:val="0"/>
                            <w:pageBreakBefore w:val="0"/>
                            <w:widowControl w:val="0"/>
                            <w:kinsoku/>
                            <w:wordWrap/>
                            <w:overflowPunct/>
                            <w:topLinePunct w:val="0"/>
                            <w:autoSpaceDE/>
                            <w:autoSpaceDN/>
                            <w:bidi w:val="0"/>
                            <w:adjustRightInd/>
                            <w:snapToGrid/>
                            <w:spacing w:line="240" w:lineRule="auto"/>
                            <w:ind w:left="23" w:leftChars="0" w:right="-11" w:rightChars="0" w:firstLine="0" w:firstLineChars="0"/>
                            <w:jc w:val="left"/>
                            <w:textAlignment w:val="auto"/>
                            <w:outlineLvl w:val="9"/>
                            <w:rPr>
                              <w:rFonts w:ascii="Minion Pro"/>
                              <w:color w:val="0000FF"/>
                              <w:sz w:val="18"/>
                              <w:szCs w:val="18"/>
                              <w:lang w:val="en-PH"/>
                            </w:rPr>
                          </w:pPr>
                          <w:r>
                            <w:rPr>
                              <w:rFonts w:ascii="Minion Pro"/>
                              <w:color w:val="0000FF"/>
                              <w:sz w:val="18"/>
                              <w:szCs w:val="18"/>
                              <w:lang w:val="en-PH"/>
                            </w:rPr>
                            <w:t>(December 7-8, 2017, Madrid Spain)</w:t>
                          </w:r>
                        </w:p>
                      </w:txbxContent>
                    </wps:txbx>
                    <wps:bodyPr vert="horz" lIns="0" tIns="0" rIns="0" bIns="0" anchor="t" upright="1"/>
                  </wps:wsp>
                </a:graphicData>
              </a:graphic>
            </wp:anchor>
          </w:drawing>
        </mc:Choice>
        <mc:Fallback>
          <w:pict>
            <v:shape id="Text Box 4" o:spid="_x0000_s1026" o:spt="202" type="#_x0000_t202" style="position:absolute;left:0pt;margin-left:33.15pt;margin-top:34.55pt;height:73.25pt;width:545.4pt;mso-position-horizontal-relative:page;mso-position-vertical-relative:page;z-index:-5120;mso-width-relative:page;mso-height-relative:page;" filled="f" stroked="f" coordsize="21600,21600" o:gfxdata="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AAAAAZHJzL1BLAQIUABQAAAAIAIdO4kAHvzI72AAAAAoBAAAP&#10;AAAAAAAAAAEAIAAAACIAAABkcnMvZG93bnJldi54bWxQSwECFAAUAAAACACHTuJA4LuLr6YBAABE&#10;AwAADgAAAAAAAAABACAAAAAnAQAAZHJzL2Uyb0RvYy54bWxQSwUGAAAAAAYABgBZAQAAPwUAAAAA&#10;">
              <v:fill on="f" focussize="0,0"/>
              <v:stroke on="f"/>
              <v:imagedata o:title=""/>
              <o:lock v:ext="edit" aspectratio="f"/>
              <v:textbox inset="0mm,0mm,0mm,0mm">
                <w:txbxContent>
                  <w:p>
                    <w:pPr>
                      <w:keepNext w:val="0"/>
                      <w:keepLines w:val="0"/>
                      <w:pageBreakBefore w:val="0"/>
                      <w:widowControl w:val="0"/>
                      <w:kinsoku/>
                      <w:wordWrap/>
                      <w:overflowPunct/>
                      <w:topLinePunct w:val="0"/>
                      <w:autoSpaceDE/>
                      <w:autoSpaceDN/>
                      <w:bidi w:val="0"/>
                      <w:adjustRightInd/>
                      <w:snapToGrid/>
                      <w:spacing w:line="240" w:lineRule="auto"/>
                      <w:ind w:left="23" w:leftChars="0" w:right="-11" w:rightChars="0" w:firstLine="0" w:firstLineChars="0"/>
                      <w:jc w:val="left"/>
                      <w:textAlignment w:val="auto"/>
                      <w:outlineLvl w:val="9"/>
                      <w:rPr>
                        <w:rFonts w:hint="default" w:ascii="Impact"/>
                        <w:color w:val="0000FF"/>
                        <w:sz w:val="36"/>
                        <w:szCs w:val="16"/>
                        <w:lang w:val="en-PH"/>
                      </w:rPr>
                    </w:pPr>
                    <w:r>
                      <w:rPr>
                        <w:rFonts w:hint="default" w:ascii="Impact"/>
                        <w:color w:val="0000FF"/>
                        <w:sz w:val="36"/>
                        <w:szCs w:val="16"/>
                        <w:lang w:val="en-PH"/>
                      </w:rPr>
                      <w:t>13</w:t>
                    </w:r>
                    <w:r>
                      <w:rPr>
                        <w:rFonts w:hint="default" w:ascii="Impact"/>
                        <w:color w:val="0000FF"/>
                        <w:sz w:val="36"/>
                        <w:szCs w:val="16"/>
                        <w:vertAlign w:val="superscript"/>
                        <w:lang w:val="en-PH"/>
                      </w:rPr>
                      <w:t>th</w:t>
                    </w:r>
                    <w:r>
                      <w:rPr>
                        <w:rFonts w:hint="default" w:ascii="Impact"/>
                        <w:color w:val="0000FF"/>
                        <w:sz w:val="36"/>
                        <w:szCs w:val="16"/>
                        <w:lang w:val="en-PH"/>
                      </w:rPr>
                      <w:t xml:space="preserve"> International Conference  on Clinical Gastroenterology and Hepatology</w:t>
                    </w:r>
                  </w:p>
                  <w:p>
                    <w:pPr>
                      <w:keepNext w:val="0"/>
                      <w:keepLines w:val="0"/>
                      <w:pageBreakBefore w:val="0"/>
                      <w:widowControl w:val="0"/>
                      <w:kinsoku/>
                      <w:wordWrap/>
                      <w:overflowPunct/>
                      <w:topLinePunct w:val="0"/>
                      <w:autoSpaceDE/>
                      <w:autoSpaceDN/>
                      <w:bidi w:val="0"/>
                      <w:adjustRightInd/>
                      <w:snapToGrid/>
                      <w:spacing w:line="240" w:lineRule="auto"/>
                      <w:ind w:left="23" w:leftChars="0" w:right="-11" w:rightChars="0" w:firstLine="0" w:firstLineChars="0"/>
                      <w:jc w:val="left"/>
                      <w:textAlignment w:val="auto"/>
                      <w:outlineLvl w:val="9"/>
                      <w:rPr>
                        <w:rFonts w:ascii="Minion Pro"/>
                        <w:color w:val="0000FF"/>
                        <w:sz w:val="18"/>
                        <w:szCs w:val="18"/>
                        <w:lang w:val="en-PH"/>
                      </w:rPr>
                    </w:pPr>
                    <w:r>
                      <w:rPr>
                        <w:rFonts w:ascii="Minion Pro"/>
                        <w:color w:val="0000FF"/>
                        <w:sz w:val="18"/>
                        <w:szCs w:val="18"/>
                        <w:lang w:val="en-PH"/>
                      </w:rPr>
                      <w:t>(December 7-8, 2017, Madrid Spain)</w:t>
                    </w:r>
                  </w:p>
                </w:txbxContent>
              </v:textbox>
            </v:shape>
          </w:pict>
        </mc:Fallback>
      </mc:AlternateContent>
    </w:r>
    <w:r>
      <mc:AlternateContent>
        <mc:Choice Requires="wps">
          <w:drawing>
            <wp:anchor distT="0" distB="0" distL="114300" distR="114300" simplePos="0" relativeHeight="503311360" behindDoc="1" locked="0" layoutInCell="1" allowOverlap="1">
              <wp:simplePos x="0" y="0"/>
              <wp:positionH relativeFrom="page">
                <wp:posOffset>5283200</wp:posOffset>
              </wp:positionH>
              <wp:positionV relativeFrom="page">
                <wp:posOffset>330835</wp:posOffset>
              </wp:positionV>
              <wp:extent cx="1832610" cy="220980"/>
              <wp:effectExtent l="0" t="0" r="0" b="0"/>
              <wp:wrapNone/>
              <wp:docPr id="10" name="Text Box 5"/>
              <wp:cNvGraphicFramePr/>
              <a:graphic xmlns:a="http://schemas.openxmlformats.org/drawingml/2006/main">
                <a:graphicData uri="http://schemas.microsoft.com/office/word/2010/wordprocessingShape">
                  <wps:wsp>
                    <wps:cNvSpPr txBox="1"/>
                    <wps:spPr>
                      <a:xfrm>
                        <a:off x="0" y="0"/>
                        <a:ext cx="1832610" cy="220980"/>
                      </a:xfrm>
                      <a:prstGeom prst="rect">
                        <a:avLst/>
                      </a:prstGeom>
                      <a:noFill/>
                      <a:ln w="9525">
                        <a:noFill/>
                      </a:ln>
                    </wps:spPr>
                    <wps:txbx>
                      <w:txbxContent>
                        <w:p>
                          <w:pPr>
                            <w:spacing w:before="2" w:line="249" w:lineRule="auto"/>
                            <w:ind w:left="156" w:right="18" w:hanging="137"/>
                            <w:jc w:val="right"/>
                            <w:rPr>
                              <w:rFonts w:ascii="Arial"/>
                              <w:color w:val="0000FF"/>
                              <w:sz w:val="14"/>
                            </w:rPr>
                          </w:pPr>
                          <w:r>
                            <w:rPr>
                              <w:rFonts w:ascii="Arial"/>
                              <w:color w:val="0000FF"/>
                              <w:sz w:val="14"/>
                              <w:lang w:val="en-PH"/>
                            </w:rPr>
                            <w:t>Ching, MEC, Lontok, MAL. 2017</w:t>
                          </w:r>
                        </w:p>
                      </w:txbxContent>
                    </wps:txbx>
                    <wps:bodyPr lIns="0" tIns="0" rIns="0" bIns="0" upright="1"/>
                  </wps:wsp>
                </a:graphicData>
              </a:graphic>
            </wp:anchor>
          </w:drawing>
        </mc:Choice>
        <mc:Fallback>
          <w:pict>
            <v:shape id="Text Box 5" o:spid="_x0000_s1026" o:spt="202" type="#_x0000_t202" style="position:absolute;left:0pt;margin-left:416pt;margin-top:26.05pt;height:17.4pt;width:144.3pt;mso-position-horizontal-relative:page;mso-position-vertical-relative:page;z-index:-5120;mso-width-relative:page;mso-height-relative:page;" filled="f" stroked="f" coordsize="21600,21600" o:gfxdata="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">
              <v:fill on="f" focussize="0,0"/>
              <v:stroke on="f"/>
              <v:imagedata o:title=""/>
              <o:lock v:ext="edit" aspectratio="f"/>
              <v:textbox inset="0mm,0mm,0mm,0mm">
                <w:txbxContent>
                  <w:p>
                    <w:pPr>
                      <w:spacing w:before="2" w:line="249" w:lineRule="auto"/>
                      <w:ind w:left="156" w:right="18" w:hanging="137"/>
                      <w:jc w:val="right"/>
                      <w:rPr>
                        <w:rFonts w:ascii="Arial"/>
                        <w:color w:val="0000FF"/>
                        <w:sz w:val="14"/>
                      </w:rPr>
                    </w:pPr>
                    <w:r>
                      <w:rPr>
                        <w:rFonts w:ascii="Arial"/>
                        <w:color w:val="0000FF"/>
                        <w:sz w:val="14"/>
                        <w:lang w:val="en-PH"/>
                      </w:rPr>
                      <w:t>Ching, MEC, Lontok, MAL. 2017</w:t>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hdrShapeDefaults>
    <o:shapelayout v:ext="edit">
      <o:idmap v:ext="edit" data="2"/>
    </o:shapelayout>
  </w:hdrShapeDefaults>
  <w:compat>
    <w:doNotExpandShiftReturn/>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3D671F"/>
    <w:rsid w:val="00404E5B"/>
    <w:rsid w:val="00414F7B"/>
    <w:rsid w:val="004355DC"/>
    <w:rsid w:val="004749B4"/>
    <w:rsid w:val="004F3523"/>
    <w:rsid w:val="005B3A56"/>
    <w:rsid w:val="006060CE"/>
    <w:rsid w:val="0063497F"/>
    <w:rsid w:val="00873DF0"/>
    <w:rsid w:val="008D56A6"/>
    <w:rsid w:val="009B2D44"/>
    <w:rsid w:val="00A9710C"/>
    <w:rsid w:val="00AE3E37"/>
    <w:rsid w:val="00B21A57"/>
    <w:rsid w:val="00C33602"/>
    <w:rsid w:val="00CD6F55"/>
    <w:rsid w:val="00F72EEA"/>
    <w:rsid w:val="00F84CAE"/>
    <w:rsid w:val="0D82212C"/>
    <w:rsid w:val="11A85997"/>
    <w:rsid w:val="60845CD5"/>
    <w:rsid w:val="7E8070BB"/>
  </w:rsids>
  <m:mathPr>
    <m:lMargin m:val="0"/>
    <m:mathFont m:val="Cambria Math"/>
    <m:rMargin m:val="0"/>
    <m:wrapIndent m:val="1440"/>
    <m:brkBin m:val="before"/>
    <m:brkBinSub m:val="--"/>
    <m:defJc m:val="centerGroup"/>
    <m:intLim m:val="subSup"/>
    <m:naryLim m:val="undOvr"/>
    <m:smallFrac m:val=""/>
    <m:dispDef/>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pPr>
    <w:rPr>
      <w:rFonts w:ascii="Tw Cen MT" w:hAnsi="Tw Cen MT" w:eastAsia="Tw Cen MT" w:cs="Tw Cen MT"/>
      <w:sz w:val="22"/>
      <w:szCs w:val="22"/>
      <w:lang w:val="en-US" w:eastAsia="en-US" w:bidi="ar-SA"/>
    </w:rPr>
  </w:style>
  <w:style w:type="paragraph" w:styleId="2">
    <w:name w:val="heading 1"/>
    <w:basedOn w:val="1"/>
    <w:next w:val="1"/>
    <w:qFormat/>
    <w:uiPriority w:val="1"/>
    <w:pPr>
      <w:spacing w:before="47" w:line="400" w:lineRule="exact"/>
      <w:ind w:left="100"/>
      <w:outlineLvl w:val="0"/>
    </w:pPr>
    <w:rPr>
      <w:rFonts w:ascii="Minion Pro" w:hAnsi="Minion Pro" w:eastAsia="Minion Pro" w:cs="Minion Pro"/>
      <w:b/>
      <w:bCs/>
      <w:sz w:val="36"/>
      <w:szCs w:val="36"/>
    </w:rPr>
  </w:style>
  <w:style w:type="paragraph" w:styleId="3">
    <w:name w:val="heading 2"/>
    <w:basedOn w:val="1"/>
    <w:next w:val="1"/>
    <w:qFormat/>
    <w:uiPriority w:val="1"/>
    <w:pPr>
      <w:ind w:left="100"/>
      <w:outlineLvl w:val="1"/>
    </w:pPr>
    <w:rPr>
      <w:rFonts w:ascii="Minion Pro" w:hAnsi="Minion Pro" w:eastAsia="Minion Pro" w:cs="Minion Pro"/>
      <w:sz w:val="24"/>
      <w:szCs w:val="24"/>
    </w:rPr>
  </w:style>
  <w:style w:type="paragraph" w:styleId="4">
    <w:name w:val="heading 3"/>
    <w:basedOn w:val="1"/>
    <w:next w:val="1"/>
    <w:qFormat/>
    <w:uiPriority w:val="1"/>
    <w:pPr>
      <w:ind w:left="100"/>
      <w:outlineLvl w:val="2"/>
    </w:pPr>
    <w:rPr>
      <w:rFonts w:ascii="Arial" w:hAnsi="Arial" w:eastAsia="Arial" w:cs="Arial"/>
      <w:b/>
      <w:bCs/>
      <w:sz w:val="20"/>
      <w:szCs w:val="20"/>
    </w:rPr>
  </w:style>
  <w:style w:type="character" w:default="1" w:styleId="9">
    <w:name w:val="Default Paragraph Font"/>
    <w:unhideWhenUsed/>
    <w:qFormat/>
    <w:uiPriority w:val="1"/>
  </w:style>
  <w:style w:type="table" w:default="1" w:styleId="10">
    <w:name w:val="Normal Table"/>
    <w:unhideWhenUsed/>
    <w:qFormat/>
    <w:uiPriority w:val="99"/>
    <w:tblPr>
      <w:tblLayout w:type="fixed"/>
      <w:tblCellMar>
        <w:top w:w="0" w:type="dxa"/>
        <w:left w:w="108" w:type="dxa"/>
        <w:bottom w:w="0" w:type="dxa"/>
        <w:right w:w="108" w:type="dxa"/>
      </w:tblCellMar>
    </w:tblPr>
  </w:style>
  <w:style w:type="paragraph" w:styleId="5">
    <w:name w:val="Balloon Text"/>
    <w:basedOn w:val="1"/>
    <w:link w:val="15"/>
    <w:unhideWhenUsed/>
    <w:qFormat/>
    <w:uiPriority w:val="99"/>
    <w:rPr>
      <w:rFonts w:ascii="Tahoma" w:hAnsi="Tahoma" w:cs="Tahoma"/>
      <w:sz w:val="16"/>
      <w:szCs w:val="16"/>
    </w:rPr>
  </w:style>
  <w:style w:type="paragraph" w:styleId="6">
    <w:name w:val="Body Text"/>
    <w:basedOn w:val="1"/>
    <w:qFormat/>
    <w:uiPriority w:val="1"/>
    <w:rPr>
      <w:sz w:val="18"/>
      <w:szCs w:val="18"/>
    </w:rPr>
  </w:style>
  <w:style w:type="paragraph" w:styleId="7">
    <w:name w:val="footer"/>
    <w:basedOn w:val="1"/>
    <w:link w:val="14"/>
    <w:unhideWhenUsed/>
    <w:qFormat/>
    <w:uiPriority w:val="99"/>
    <w:pPr>
      <w:tabs>
        <w:tab w:val="center" w:pos="4513"/>
        <w:tab w:val="right" w:pos="9026"/>
      </w:tabs>
    </w:pPr>
  </w:style>
  <w:style w:type="paragraph" w:styleId="8">
    <w:name w:val="header"/>
    <w:basedOn w:val="1"/>
    <w:link w:val="13"/>
    <w:unhideWhenUsed/>
    <w:qFormat/>
    <w:uiPriority w:val="99"/>
    <w:pPr>
      <w:tabs>
        <w:tab w:val="center" w:pos="4513"/>
        <w:tab w:val="right" w:pos="9026"/>
      </w:tabs>
    </w:pPr>
  </w:style>
  <w:style w:type="paragraph" w:customStyle="1" w:styleId="11">
    <w:name w:val="List Paragraph"/>
    <w:basedOn w:val="1"/>
    <w:qFormat/>
    <w:uiPriority w:val="1"/>
    <w:pPr>
      <w:spacing w:before="90" w:line="200" w:lineRule="exact"/>
      <w:ind w:left="383" w:hanging="283"/>
      <w:jc w:val="both"/>
    </w:pPr>
    <w:rPr>
      <w:rFonts w:ascii="Calibri" w:hAnsi="Calibri" w:eastAsia="Calibri" w:cs="Calibri"/>
    </w:rPr>
  </w:style>
  <w:style w:type="paragraph" w:customStyle="1" w:styleId="12">
    <w:name w:val="Table Paragraph"/>
    <w:basedOn w:val="1"/>
    <w:qFormat/>
    <w:uiPriority w:val="1"/>
  </w:style>
  <w:style w:type="character" w:customStyle="1" w:styleId="13">
    <w:name w:val="Header Char"/>
    <w:basedOn w:val="9"/>
    <w:link w:val="8"/>
    <w:qFormat/>
    <w:uiPriority w:val="99"/>
    <w:rPr>
      <w:rFonts w:ascii="Tw Cen MT" w:hAnsi="Tw Cen MT" w:eastAsia="Tw Cen MT" w:cs="Tw Cen MT"/>
    </w:rPr>
  </w:style>
  <w:style w:type="character" w:customStyle="1" w:styleId="14">
    <w:name w:val="Footer Char"/>
    <w:basedOn w:val="9"/>
    <w:link w:val="7"/>
    <w:qFormat/>
    <w:uiPriority w:val="99"/>
    <w:rPr>
      <w:rFonts w:ascii="Tw Cen MT" w:hAnsi="Tw Cen MT" w:eastAsia="Tw Cen MT" w:cs="Tw Cen MT"/>
    </w:rPr>
  </w:style>
  <w:style w:type="character" w:customStyle="1" w:styleId="15">
    <w:name w:val="Balloon Text Char"/>
    <w:basedOn w:val="9"/>
    <w:link w:val="5"/>
    <w:semiHidden/>
    <w:qFormat/>
    <w:uiPriority w:val="99"/>
    <w:rPr>
      <w:rFonts w:ascii="Tahoma" w:hAnsi="Tahoma" w:eastAsia="Tw Cen MT" w:cs="Tahoma"/>
      <w:sz w:val="16"/>
      <w:szCs w:val="16"/>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Pages>
  <Words>596</Words>
  <Characters>3399</Characters>
  <Lines>28</Lines>
  <Paragraphs>7</Paragraphs>
  <ScaleCrop>false</ScaleCrop>
  <LinksUpToDate>false</LinksUpToDate>
  <CharactersWithSpaces>3988</CharactersWithSpaces>
  <Application>WPS Office_10.2.0.5811_F1E327BC-269C-435d-A152-05C5408002CA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2016-08-24T06:41:00Z</dcterms:created>
  <dc:creator>mehaboobi shaik</dc:creator>
  <cp:lastModifiedBy>Ching</cp:lastModifiedBy>
  <dcterms:modified xsi:type="dcterms:W3CDTF">2017-04-25T03:34:42Z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KSOProductBuildVer">
    <vt:lpwstr>1033-10.2.0.5811</vt:lpwstr>
  </property>
</Properties>
</file>