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87B" w:rsidRDefault="00145978">
      <w:r>
        <w:rPr>
          <w:rFonts w:ascii="Segoe UI" w:hAnsi="Segoe UI" w:cs="Segoe UI"/>
          <w:color w:val="000000"/>
          <w:sz w:val="20"/>
          <w:szCs w:val="20"/>
        </w:rPr>
        <w:t>Cytoreductive Surgery and Hyperthermic Intra-peritoneal chemotherapy (CRS and HIPEC) for the management of gastrointestinal peritoneal carcinomatosis</w:t>
      </w:r>
      <w:r>
        <w:rPr>
          <w:rStyle w:val="apple-converted-space"/>
          <w:rFonts w:ascii="Segoe UI" w:hAnsi="Segoe UI" w:cs="Segoe UI"/>
          <w:color w:val="000000"/>
          <w:sz w:val="20"/>
          <w:szCs w:val="20"/>
        </w:rPr>
        <w:t> </w:t>
      </w:r>
      <w:r>
        <w:rPr>
          <w:rFonts w:ascii="Segoe UI" w:hAnsi="Segoe UI" w:cs="Segoe UI"/>
          <w:color w:val="000000"/>
          <w:sz w:val="20"/>
          <w:szCs w:val="20"/>
        </w:rPr>
        <w:br/>
      </w:r>
      <w:r>
        <w:rPr>
          <w:rFonts w:ascii="Segoe UI" w:hAnsi="Segoe UI" w:cs="Segoe UI"/>
          <w:color w:val="000000"/>
          <w:sz w:val="20"/>
          <w:szCs w:val="20"/>
        </w:rPr>
        <w:br/>
        <w:t>Background</w:t>
      </w:r>
      <w:r>
        <w:rPr>
          <w:rFonts w:ascii="Segoe UI" w:hAnsi="Segoe UI" w:cs="Segoe UI"/>
          <w:color w:val="000000"/>
          <w:sz w:val="20"/>
          <w:szCs w:val="20"/>
        </w:rPr>
        <w:br/>
        <w:t>Peritoneal carcinomatosis (PC) is a common end-point for many gastrointestinal cancers, traditionally with a dismal prognosis of 6 months (1) without any treatment. Even with modern chemotherapy, the median survival does not exceed 24 months (2) and long– term survival has not been documented. Cytoreductive surgery and hyperthermic intraperitoneal chemotherapy (CRS and HIPEC) have demonstrated significantly improved survival in selected patients with PC (3-6). CRS describes resection of all macroscopic disease, with complete resection yielding the best prognosis, whilst HIPEC addresses the microscopic disease within the peritoneal cavity, with the heat potentiating the effect of the chemotherapeutic drug. The HIPEC drug of choice for colorectal PC is mitomycin C and that for gastric PC is typically paclitaxel. The volume of disease is quantified by the peritoneal carcinomatosis index (PCI) and the thresholds at which CRS and HIPEC are attempted tend to be lower in that for gastric PC compared to colorectal PC. Another method for increasing the possibility of a successful CRS and HIPEC in patients with gastric PC has been the adoption of neoadjuvant bidirectional chemotherapy, with systemic and intra-peritoneal chemotherapy administered for 3 cycles as a means of downstaging (6,7).</w:t>
      </w:r>
      <w:r>
        <w:rPr>
          <w:rStyle w:val="apple-converted-space"/>
          <w:rFonts w:ascii="Segoe UI" w:hAnsi="Segoe UI" w:cs="Segoe UI"/>
          <w:color w:val="000000"/>
          <w:sz w:val="20"/>
          <w:szCs w:val="20"/>
        </w:rPr>
        <w:t> </w:t>
      </w:r>
      <w:r>
        <w:rPr>
          <w:rFonts w:ascii="Segoe UI" w:hAnsi="Segoe UI" w:cs="Segoe UI"/>
          <w:color w:val="000000"/>
          <w:sz w:val="20"/>
          <w:szCs w:val="20"/>
        </w:rPr>
        <w:br/>
      </w:r>
      <w:r>
        <w:rPr>
          <w:rFonts w:ascii="Segoe UI" w:hAnsi="Segoe UI" w:cs="Segoe UI"/>
          <w:color w:val="000000"/>
          <w:sz w:val="20"/>
          <w:szCs w:val="20"/>
        </w:rPr>
        <w:br/>
        <w:t>Preliminary data</w:t>
      </w:r>
      <w:r>
        <w:rPr>
          <w:rFonts w:ascii="Segoe UI" w:hAnsi="Segoe UI" w:cs="Segoe UI"/>
          <w:color w:val="000000"/>
          <w:sz w:val="20"/>
          <w:szCs w:val="20"/>
        </w:rPr>
        <w:br/>
        <w:t>Our group has the largest known experience with CRS and HIPEC for peritoneal-based malignancies in Southeast-Asia with more than 260 cases performed successfully. We have published the lessons learnt from our initial experience (8,9), encouraging survival results for the whole cohort (10) and for colorectal PC-specific disease (11). Over the past few years, we have also been able to demonstrate improved quality of life in patients after having undergone CRS and HIPEC for PC (12). We have also administered neoadjuvant bidirectional chemotherapy in patients with gastric PC, and downstaged 50% of the cases to be amenable for CRS and HIPEC. At present, we are about to embark on a randomised trial studying the effect of biredirectional chemotherapy and CRS and HIPEC versus systemic chemotherapy for gastric PC, as well as a phase 2 clinical study to assess the role of adjuvant HIPEC after complete CRS in colorectal cancers at high risk for PC development.</w:t>
      </w:r>
      <w:r>
        <w:rPr>
          <w:rFonts w:ascii="Segoe UI" w:hAnsi="Segoe UI" w:cs="Segoe UI"/>
          <w:color w:val="000000"/>
          <w:sz w:val="20"/>
          <w:szCs w:val="20"/>
        </w:rPr>
        <w:br/>
      </w:r>
      <w:r>
        <w:rPr>
          <w:rFonts w:ascii="Segoe UI" w:hAnsi="Segoe UI" w:cs="Segoe UI"/>
          <w:color w:val="000000"/>
          <w:sz w:val="20"/>
          <w:szCs w:val="20"/>
        </w:rPr>
        <w:br/>
        <w:t>Work in our lab on PC of colorectal origin has demonstrated significant genomic heterogeneity in metastases harvested from different sites within the abdomen.  However, utilizing laser capture microdissection to separate individual tissue components followed by RNA sequencing, we were able to identify putative pathways that are convergent transcriptomically.  This provides an avenue for selection of targeted therapy in the setting of neoadjuvant intra-peritoneal instillation of molecular targeted agents to decrease disease burden.  This strategy could also be used in the setting of intraoperative hyperthermic intraperitoneal chemotherapy after cytoreducttive surgery for peritoneal carcinomatosis.  The above-mentioned approach will be similarly used to identify signalling pathways and novel therapeutic strategies in gastric cancer with PC. </w:t>
      </w:r>
      <w:r>
        <w:rPr>
          <w:rStyle w:val="apple-converted-space"/>
          <w:rFonts w:ascii="Segoe UI" w:hAnsi="Segoe UI" w:cs="Segoe UI"/>
          <w:color w:val="000000"/>
          <w:sz w:val="20"/>
          <w:szCs w:val="20"/>
        </w:rPr>
        <w:t> </w:t>
      </w:r>
      <w:r>
        <w:rPr>
          <w:rFonts w:ascii="Segoe UI" w:hAnsi="Segoe UI" w:cs="Segoe UI"/>
          <w:color w:val="000000"/>
          <w:sz w:val="20"/>
          <w:szCs w:val="20"/>
        </w:rPr>
        <w:br/>
      </w:r>
      <w:r>
        <w:rPr>
          <w:rFonts w:ascii="Segoe UI" w:hAnsi="Segoe UI" w:cs="Segoe UI"/>
          <w:color w:val="000000"/>
          <w:sz w:val="20"/>
          <w:szCs w:val="20"/>
        </w:rPr>
        <w:br/>
        <w:t>References:</w:t>
      </w:r>
      <w:r>
        <w:rPr>
          <w:rFonts w:ascii="Segoe UI" w:hAnsi="Segoe UI" w:cs="Segoe UI"/>
          <w:color w:val="000000"/>
          <w:sz w:val="20"/>
          <w:szCs w:val="20"/>
        </w:rPr>
        <w:br/>
      </w:r>
      <w:r>
        <w:rPr>
          <w:rFonts w:ascii="Segoe UI" w:hAnsi="Segoe UI" w:cs="Segoe UI"/>
          <w:color w:val="000000"/>
          <w:sz w:val="20"/>
          <w:szCs w:val="20"/>
        </w:rPr>
        <w:br/>
      </w:r>
      <w:r>
        <w:rPr>
          <w:rFonts w:ascii="Segoe UI" w:hAnsi="Segoe UI" w:cs="Segoe UI"/>
          <w:color w:val="000000"/>
          <w:sz w:val="20"/>
          <w:szCs w:val="20"/>
        </w:rPr>
        <w:lastRenderedPageBreak/>
        <w:t>1. Sadeghi B, Arvieux C, Glehen O, et al. (2000). Peritoneal carcinomatosis from non-gynecologic malignancies: results of the EVOCAPE 1 multicentric prospective study. Cancer 88:358–63.</w:t>
      </w:r>
      <w:r>
        <w:rPr>
          <w:rFonts w:ascii="Segoe UI" w:hAnsi="Segoe UI" w:cs="Segoe UI"/>
          <w:color w:val="000000"/>
          <w:sz w:val="20"/>
          <w:szCs w:val="20"/>
        </w:rPr>
        <w:br/>
        <w:t>2. Klaver YLB, Lemmens  VEPP, Creemers GJ et al. (2011) Population-based survival of patients with peritoneal carcinomatosis from colorectal origin in the era of increasing use of palliative chemotherapy. Ann Oncol 22 (10): 2250-2256.</w:t>
      </w:r>
      <w:r>
        <w:rPr>
          <w:rFonts w:ascii="Segoe UI" w:hAnsi="Segoe UI" w:cs="Segoe UI"/>
          <w:color w:val="000000"/>
          <w:sz w:val="20"/>
          <w:szCs w:val="20"/>
        </w:rPr>
        <w:br/>
        <w:t>3. Glehen O, Kwiatkowski F, Sugarbaker PH, et al. (2004). Cytoreductive surgery combined with perioperative intraperitoneal chemotherapy for the management of peritoneal carcinomatosis from colorectal cancer: a multi-institutional study. J Clin Oncol 22:3284–92.</w:t>
      </w:r>
      <w:r>
        <w:rPr>
          <w:rFonts w:ascii="Segoe UI" w:hAnsi="Segoe UI" w:cs="Segoe UI"/>
          <w:color w:val="000000"/>
          <w:sz w:val="20"/>
          <w:szCs w:val="20"/>
        </w:rPr>
        <w:br/>
        <w:t>4. Verwaal VJ, Bruin S, Boot H, et al. (2008). 8-year follow-up of randomized trial: cytoreduction and hyperthermic intraperitoneal chemotherapy versus systemic chemotherapy in patients with</w:t>
      </w:r>
      <w:r>
        <w:rPr>
          <w:rStyle w:val="apple-converted-space"/>
          <w:rFonts w:ascii="Segoe UI" w:hAnsi="Segoe UI" w:cs="Segoe UI"/>
          <w:color w:val="000000"/>
          <w:sz w:val="20"/>
          <w:szCs w:val="20"/>
        </w:rPr>
        <w:t> </w:t>
      </w:r>
      <w:r>
        <w:rPr>
          <w:rFonts w:ascii="Segoe UI" w:hAnsi="Segoe UI" w:cs="Segoe UI"/>
          <w:color w:val="000000"/>
          <w:sz w:val="20"/>
          <w:szCs w:val="20"/>
        </w:rPr>
        <w:br/>
        <w:t>5. Di Giorgio A, Naticchioni E, Biacchi D, et al. (2008). Cytoreductive surgery (peritonectomy procedures) combined with hyperthermic intraperitoneal chemotherapy (HIPEC) in the treatment of diffuse peritoneal carcinomatosis from ovarian cancer. Cancer 113:315–25.</w:t>
      </w:r>
      <w:r>
        <w:rPr>
          <w:rFonts w:ascii="Segoe UI" w:hAnsi="Segoe UI" w:cs="Segoe UI"/>
          <w:color w:val="000000"/>
          <w:sz w:val="20"/>
          <w:szCs w:val="20"/>
        </w:rPr>
        <w:br/>
        <w:t>6. Yonemura Y, Kawamura T, Bandou E, et al. (2005). Treatment of peritoneal dissemination from gastric cancer by peritonectomy and chemohyperthermic peritoneal perfusion. Br J Surg 92:370–75.</w:t>
      </w:r>
      <w:r>
        <w:rPr>
          <w:rFonts w:ascii="Segoe UI" w:hAnsi="Segoe UI" w:cs="Segoe UI"/>
          <w:color w:val="000000"/>
          <w:sz w:val="20"/>
          <w:szCs w:val="20"/>
        </w:rPr>
        <w:br/>
        <w:t>7. Yonemura Y, Endou Y, Shinbo M, Sasaki T, Hirano M, Mizumoto A, Matsuda T, Takao N, Ichinose M, Mizuno M, et al. (2009) Safety and efficacy of bidirectional chemotherapy for treatment of patients with peritoneal dissemination from gastric cancer: Selection for cytoreductive surgery. J Surg Oncol 100:311–316.</w:t>
      </w:r>
      <w:r>
        <w:rPr>
          <w:rStyle w:val="apple-converted-space"/>
          <w:rFonts w:ascii="Segoe UI" w:hAnsi="Segoe UI" w:cs="Segoe UI"/>
          <w:color w:val="000000"/>
          <w:sz w:val="20"/>
          <w:szCs w:val="20"/>
        </w:rPr>
        <w:t> </w:t>
      </w:r>
      <w:r>
        <w:rPr>
          <w:rFonts w:ascii="Segoe UI" w:hAnsi="Segoe UI" w:cs="Segoe UI"/>
          <w:color w:val="000000"/>
          <w:sz w:val="20"/>
          <w:szCs w:val="20"/>
        </w:rPr>
        <w:br/>
        <w:t>8. Teo M, Foo KF, Koo WH, et al. (2006). Lessons learnt from initial experience with peritonectomy and intra-peritoneal chemotherapy infusion. World J Surg 30:2132–36.</w:t>
      </w:r>
      <w:r>
        <w:rPr>
          <w:rFonts w:ascii="Segoe UI" w:hAnsi="Segoe UI" w:cs="Segoe UI"/>
          <w:color w:val="000000"/>
          <w:sz w:val="20"/>
          <w:szCs w:val="20"/>
        </w:rPr>
        <w:br/>
        <w:t>9. Teo M, Tan G, Lim C, et al. (2013). Cytoreductive surgery and hyperthermic intraperitoneal chemotherapy in Asian patients: 100 consecutive patients in a single institution. Ann Surg Oncol 20:2968–74.</w:t>
      </w:r>
      <w:r>
        <w:rPr>
          <w:rFonts w:ascii="Segoe UI" w:hAnsi="Segoe UI" w:cs="Segoe UI"/>
          <w:color w:val="000000"/>
          <w:sz w:val="20"/>
          <w:szCs w:val="20"/>
        </w:rPr>
        <w:br/>
        <w:t>10.Tan G, Chia C, Kumar M et al. (2017). 201 consecutive cytoreductive surgery (CRS) and hyperthermic intraperitoneal chemotherapy (HIPEC) procedures in a single Asian tertiary centre. Int J Hyperthermia 33(3): 288-94</w:t>
      </w:r>
      <w:r>
        <w:rPr>
          <w:rFonts w:ascii="Segoe UI" w:hAnsi="Segoe UI" w:cs="Segoe UI"/>
          <w:color w:val="000000"/>
          <w:sz w:val="20"/>
          <w:szCs w:val="20"/>
        </w:rPr>
        <w:br/>
        <w:t>11. Teo M, Tan G, Lim C, et al. (2015). Colorectal peritoneal carcinomatosis treated with cytoreductive surgery and hyperthermic intraperitoneal chemotherapy: The experience of a tertiary Asian center. Asian J Surg 38(2): 65–73</w:t>
      </w:r>
      <w:r>
        <w:rPr>
          <w:rFonts w:ascii="Segoe UI" w:hAnsi="Segoe UI" w:cs="Segoe UI"/>
          <w:color w:val="000000"/>
          <w:sz w:val="20"/>
          <w:szCs w:val="20"/>
        </w:rPr>
        <w:br/>
        <w:t>12. Chia C, Tan G, Lim C et al. (2016). Prospective Quality of Life Study for Colorectal Cancer Patients with Peritoneal Carcinomatosis Undergoing Cytoreductive Surgery and Hyperthermic Intraperitoneal Chemotherapy. Ann Surg Oncol 23:2905–2913</w:t>
      </w:r>
      <w:bookmarkStart w:id="0" w:name="_GoBack"/>
      <w:bookmarkEnd w:id="0"/>
    </w:p>
    <w:sectPr w:rsidR="00BA38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978"/>
    <w:rsid w:val="00145978"/>
    <w:rsid w:val="00D90099"/>
    <w:rsid w:val="00FB1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459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45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asdasdasdsad</Company>
  <LinksUpToDate>false</LinksUpToDate>
  <CharactersWithSpaces>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asdasd</dc:creator>
  <cp:lastModifiedBy>asdasd</cp:lastModifiedBy>
  <cp:revision>1</cp:revision>
  <dcterms:created xsi:type="dcterms:W3CDTF">2017-03-25T11:20:00Z</dcterms:created>
  <dcterms:modified xsi:type="dcterms:W3CDTF">2017-03-25T11:20:00Z</dcterms:modified>
</cp:coreProperties>
</file>