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Default="00AE3E37">
      <w:pPr>
        <w:pStyle w:val="a3"/>
        <w:rPr>
          <w:rFonts w:ascii="Times New Roman"/>
          <w:sz w:val="20"/>
        </w:rPr>
      </w:pPr>
    </w:p>
    <w:p w:rsidR="00AE3E37" w:rsidRPr="00661FA4" w:rsidRDefault="00661FA4" w:rsidP="00661FA4">
      <w:pPr>
        <w:pStyle w:val="1"/>
        <w:spacing w:before="170"/>
        <w:rPr>
          <w:color w:val="337AB7"/>
        </w:rPr>
      </w:pPr>
      <w:r w:rsidRPr="00661FA4">
        <w:rPr>
          <w:color w:val="337AB7"/>
        </w:rPr>
        <w:t>Proton pump inhibitors for preventing non-steroidal anti-inflammatory drug</w:t>
      </w:r>
      <w:r w:rsidR="00035624">
        <w:rPr>
          <w:color w:val="337AB7"/>
        </w:rPr>
        <w:t xml:space="preserve"> </w:t>
      </w:r>
      <w:r w:rsidRPr="00661FA4">
        <w:rPr>
          <w:color w:val="337AB7"/>
        </w:rPr>
        <w:t>induced gastrointestinal toxicity: a systematic review</w:t>
      </w:r>
    </w:p>
    <w:p w:rsidR="00035624" w:rsidRDefault="00703E81" w:rsidP="00226848">
      <w:pPr>
        <w:pStyle w:val="a3"/>
        <w:ind w:leftChars="50" w:left="110"/>
        <w:rPr>
          <w:rFonts w:ascii="Arial"/>
          <w:sz w:val="20"/>
        </w:rPr>
      </w:pPr>
      <w:r w:rsidRPr="00035624">
        <w:rPr>
          <w:rFonts w:ascii="Arial"/>
          <w:sz w:val="20"/>
        </w:rPr>
        <w:t>Ping-</w:t>
      </w:r>
      <w:proofErr w:type="spellStart"/>
      <w:r w:rsidRPr="00035624">
        <w:rPr>
          <w:rFonts w:ascii="Arial"/>
          <w:sz w:val="20"/>
        </w:rPr>
        <w:t>Guang</w:t>
      </w:r>
      <w:proofErr w:type="spellEnd"/>
      <w:r w:rsidRPr="00035624">
        <w:rPr>
          <w:rFonts w:ascii="Arial"/>
          <w:sz w:val="20"/>
        </w:rPr>
        <w:t xml:space="preserve"> Lei</w:t>
      </w:r>
      <w:r>
        <w:rPr>
          <w:rFonts w:ascii="Arial"/>
          <w:sz w:val="20"/>
        </w:rPr>
        <w:t xml:space="preserve">, </w:t>
      </w:r>
      <w:r w:rsidRPr="00035624">
        <w:rPr>
          <w:rFonts w:ascii="Arial"/>
          <w:sz w:val="20"/>
        </w:rPr>
        <w:t>Jun-Hui He</w:t>
      </w:r>
      <w:r>
        <w:rPr>
          <w:rFonts w:ascii="Arial"/>
          <w:sz w:val="20"/>
        </w:rPr>
        <w:t xml:space="preserve">, </w:t>
      </w:r>
      <w:r w:rsidR="00035624" w:rsidRPr="00035624">
        <w:rPr>
          <w:rFonts w:ascii="Arial"/>
          <w:sz w:val="20"/>
        </w:rPr>
        <w:t>Man Yang</w:t>
      </w:r>
      <w:r>
        <w:rPr>
          <w:rFonts w:ascii="Arial"/>
          <w:sz w:val="20"/>
        </w:rPr>
        <w:t xml:space="preserve">, </w:t>
      </w:r>
      <w:proofErr w:type="spellStart"/>
      <w:r>
        <w:rPr>
          <w:rFonts w:ascii="Arial"/>
          <w:sz w:val="20"/>
        </w:rPr>
        <w:t>Jin</w:t>
      </w:r>
      <w:proofErr w:type="spellEnd"/>
      <w:r>
        <w:rPr>
          <w:rFonts w:ascii="Arial"/>
          <w:sz w:val="20"/>
        </w:rPr>
        <w:t xml:space="preserve">-Qing </w:t>
      </w:r>
      <w:proofErr w:type="spellStart"/>
      <w:r>
        <w:rPr>
          <w:rFonts w:ascii="Arial"/>
          <w:sz w:val="20"/>
        </w:rPr>
        <w:t>Ou</w:t>
      </w:r>
      <w:proofErr w:type="spellEnd"/>
      <w:r>
        <w:rPr>
          <w:rFonts w:ascii="Arial"/>
          <w:sz w:val="20"/>
        </w:rPr>
        <w:t xml:space="preserve">, </w:t>
      </w:r>
      <w:proofErr w:type="spellStart"/>
      <w:r>
        <w:rPr>
          <w:rFonts w:ascii="Arial"/>
          <w:sz w:val="20"/>
        </w:rPr>
        <w:t>Tsz</w:t>
      </w:r>
      <w:proofErr w:type="spellEnd"/>
      <w:r>
        <w:rPr>
          <w:rFonts w:ascii="Arial"/>
          <w:sz w:val="20"/>
        </w:rPr>
        <w:t>-Leung Pun</w:t>
      </w:r>
    </w:p>
    <w:p w:rsidR="00AE3E37" w:rsidRDefault="00035624" w:rsidP="00226848">
      <w:pPr>
        <w:pStyle w:val="a3"/>
        <w:ind w:leftChars="50" w:left="110"/>
        <w:rPr>
          <w:rFonts w:ascii="Arial"/>
          <w:sz w:val="20"/>
        </w:rPr>
      </w:pPr>
      <w:r w:rsidRPr="00035624">
        <w:rPr>
          <w:rFonts w:ascii="Arial"/>
          <w:sz w:val="20"/>
        </w:rPr>
        <w:t xml:space="preserve">Department of Gastroenterology, </w:t>
      </w:r>
      <w:proofErr w:type="spellStart"/>
      <w:r w:rsidRPr="00035624">
        <w:rPr>
          <w:rFonts w:ascii="Arial"/>
          <w:sz w:val="20"/>
        </w:rPr>
        <w:t>Songgang</w:t>
      </w:r>
      <w:proofErr w:type="spellEnd"/>
      <w:r w:rsidRPr="00035624">
        <w:rPr>
          <w:rFonts w:ascii="Arial"/>
          <w:sz w:val="20"/>
        </w:rPr>
        <w:t xml:space="preserve"> People</w:t>
      </w:r>
      <w:r w:rsidRPr="00035624">
        <w:rPr>
          <w:rFonts w:ascii="Arial"/>
          <w:sz w:val="20"/>
        </w:rPr>
        <w:t>’</w:t>
      </w:r>
      <w:r w:rsidRPr="00035624">
        <w:rPr>
          <w:rFonts w:ascii="Arial"/>
          <w:sz w:val="20"/>
        </w:rPr>
        <w:t>s Hospital, Shenzhen, Guangdong, China</w:t>
      </w:r>
      <w:bookmarkStart w:id="0" w:name="_GoBack"/>
      <w:bookmarkEnd w:id="0"/>
    </w:p>
    <w:p w:rsidR="00035624" w:rsidRDefault="00035624" w:rsidP="00035624">
      <w:pPr>
        <w:pStyle w:val="a3"/>
        <w:ind w:leftChars="100" w:left="220"/>
        <w:rPr>
          <w:rFonts w:ascii="Arial"/>
          <w:sz w:val="20"/>
        </w:rPr>
      </w:pPr>
    </w:p>
    <w:p w:rsidR="00035624" w:rsidRDefault="00035624" w:rsidP="00035624">
      <w:pPr>
        <w:pStyle w:val="a3"/>
        <w:ind w:leftChars="100" w:left="220"/>
        <w:rPr>
          <w:rFonts w:ascii="Arial"/>
          <w:sz w:val="20"/>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t>Abstract</w:t>
      </w:r>
      <w:r w:rsidR="00404E5B">
        <w:rPr>
          <w:color w:val="BF5A14"/>
        </w:rPr>
        <w:t xml:space="preserve"> </w:t>
      </w:r>
    </w:p>
    <w:p w:rsidR="00035624" w:rsidRDefault="00035624" w:rsidP="00035624">
      <w:pPr>
        <w:pStyle w:val="a3"/>
        <w:spacing w:before="90" w:line="280" w:lineRule="auto"/>
        <w:ind w:left="100"/>
        <w:jc w:val="both"/>
      </w:pPr>
      <w:r>
        <w:t>Objective: Proton pump inhibitors (PPIs) are recommended for preventing gastrointestinal lesions</w:t>
      </w:r>
      <w:r>
        <w:rPr>
          <w:rFonts w:eastAsiaTheme="minorEastAsia" w:hint="eastAsia"/>
          <w:lang w:eastAsia="zh-CN"/>
        </w:rPr>
        <w:t xml:space="preserve"> </w:t>
      </w:r>
      <w:r>
        <w:t>induced by non-steroidal anti-inflammatory drugs (NSAIDs). We performed this study: (1) to evaluate the effectiveness and safety of PPIs, (2) to explore the association between effectiveness and potential</w:t>
      </w:r>
      <w:r>
        <w:rPr>
          <w:rFonts w:eastAsiaTheme="minorEastAsia" w:hint="eastAsia"/>
          <w:lang w:eastAsia="zh-CN"/>
        </w:rPr>
        <w:t xml:space="preserve"> </w:t>
      </w:r>
      <w:r>
        <w:t>influential factors, and (3) to investigate the comparative effect of different PPIs.</w:t>
      </w:r>
    </w:p>
    <w:p w:rsidR="00035624" w:rsidRDefault="00035624" w:rsidP="00035624">
      <w:pPr>
        <w:pStyle w:val="a3"/>
        <w:spacing w:before="90" w:line="280" w:lineRule="auto"/>
        <w:ind w:left="100"/>
        <w:jc w:val="both"/>
      </w:pPr>
      <w:r>
        <w:t>Methods: MEDLINE, EMBASE, and the Cochrane Library were searched to identify randomized controlled trials comparing different classes of PPIs, or comparing PPIs with placebo, H2 receptor antagonists or misoprostol in NSAIDs users. Both pairwise meta-analysis and Bayesian network meta-analysis</w:t>
      </w:r>
      <w:r>
        <w:rPr>
          <w:rFonts w:eastAsiaTheme="minorEastAsia" w:hint="eastAsia"/>
          <w:lang w:eastAsia="zh-CN"/>
        </w:rPr>
        <w:t xml:space="preserve"> </w:t>
      </w:r>
      <w:r>
        <w:t>were performed.</w:t>
      </w:r>
    </w:p>
    <w:p w:rsidR="00035624" w:rsidRDefault="00035624" w:rsidP="00035624">
      <w:pPr>
        <w:pStyle w:val="a3"/>
        <w:spacing w:before="90" w:line="280" w:lineRule="auto"/>
        <w:ind w:left="100"/>
        <w:jc w:val="both"/>
      </w:pPr>
      <w:r>
        <w:t>Results: Analyses were based on 12,532 participants from 31 trials. PPIs were significantly more effective than placebo in reducing ulcer complications (relative risk [RR] ¼ 0.29; 95% confidence interval [CI], 0.20 to 0.42) and endoscopic peptic ulcers (RR ¼ 0.27; 95% CI, 0.22 to 0.33), with no subgroup differences according to class of NSAIDs, ulcer risk, history of previous ulcer disease, Helicobacter pylori infection, or age. To prevent one ulcer complication, 10 high risk patients and 268 moderate risk patients</w:t>
      </w:r>
      <w:r>
        <w:rPr>
          <w:rFonts w:eastAsiaTheme="minorEastAsia" w:hint="eastAsia"/>
          <w:lang w:eastAsia="zh-CN"/>
        </w:rPr>
        <w:t xml:space="preserve"> </w:t>
      </w:r>
      <w:r>
        <w:t>need PPI therapy. Network meta-analysis indicated that the effectiveness of different PPIs in reducing</w:t>
      </w:r>
      <w:r>
        <w:rPr>
          <w:rFonts w:eastAsiaTheme="minorEastAsia" w:hint="eastAsia"/>
          <w:lang w:eastAsia="zh-CN"/>
        </w:rPr>
        <w:t xml:space="preserve"> </w:t>
      </w:r>
      <w:r>
        <w:t>ulcer complications and endoscopic peptic ulcers is generally similar. PPIs significantly reduced gastrointestinal adverse events and the related withdrawals compared to placebo; there is no difference in</w:t>
      </w:r>
      <w:r>
        <w:rPr>
          <w:rFonts w:eastAsiaTheme="minorEastAsia" w:hint="eastAsia"/>
          <w:lang w:eastAsia="zh-CN"/>
        </w:rPr>
        <w:t xml:space="preserve"> </w:t>
      </w:r>
      <w:r>
        <w:t>safety between different PPIs.</w:t>
      </w:r>
    </w:p>
    <w:p w:rsidR="00AE3E37" w:rsidRDefault="00035624" w:rsidP="00035624">
      <w:pPr>
        <w:pStyle w:val="a3"/>
        <w:spacing w:before="90" w:line="280" w:lineRule="auto"/>
        <w:ind w:left="100"/>
        <w:jc w:val="both"/>
      </w:pPr>
      <w:r>
        <w:t>Conclusions: PPIs are effective and safe in preventing peptic ulcers and complications in a wide spectrum of patients requiring NSAID therapy. There is no major difference in the comparative effectiveness</w:t>
      </w:r>
      <w:r>
        <w:rPr>
          <w:rFonts w:eastAsiaTheme="minorEastAsia" w:hint="eastAsia"/>
          <w:lang w:eastAsia="zh-CN"/>
        </w:rPr>
        <w:t xml:space="preserve"> </w:t>
      </w:r>
      <w:r>
        <w:t>and safety between different PPIs.</w:t>
      </w:r>
    </w:p>
    <w:p w:rsidR="00AE3E37" w:rsidRPr="003E1652" w:rsidRDefault="00A9710C" w:rsidP="003E1652">
      <w:pPr>
        <w:pStyle w:val="3"/>
        <w:spacing w:before="147"/>
        <w:jc w:val="both"/>
        <w:rPr>
          <w:color w:val="BF5A14"/>
        </w:rPr>
      </w:pPr>
      <w:r>
        <w:rPr>
          <w:b w:val="0"/>
        </w:rPr>
        <w:br w:type="column"/>
      </w:r>
      <w:r w:rsidR="00414F7B">
        <w:rPr>
          <w:color w:val="BF5A14"/>
        </w:rPr>
        <w:t>Recent publi</w:t>
      </w:r>
      <w:r w:rsidR="00C33602">
        <w:rPr>
          <w:color w:val="BF5A14"/>
        </w:rPr>
        <w:t xml:space="preserve">cations </w:t>
      </w:r>
    </w:p>
    <w:p w:rsidR="001051DE" w:rsidRPr="003E1652" w:rsidRDefault="001051DE" w:rsidP="003E1652">
      <w:pPr>
        <w:pStyle w:val="a3"/>
        <w:spacing w:before="90" w:line="280" w:lineRule="auto"/>
        <w:ind w:left="100"/>
        <w:jc w:val="both"/>
      </w:pPr>
      <w:r w:rsidRPr="003E1652">
        <w:t xml:space="preserve">1. Soll AH, Weinstein WM, </w:t>
      </w:r>
      <w:proofErr w:type="spellStart"/>
      <w:r w:rsidRPr="003E1652">
        <w:t>Kurata</w:t>
      </w:r>
      <w:proofErr w:type="spellEnd"/>
      <w:r w:rsidRPr="003E1652">
        <w:t xml:space="preserve"> J, et al. Nonsteroidal </w:t>
      </w:r>
      <w:proofErr w:type="spellStart"/>
      <w:r w:rsidRPr="003E1652">
        <w:t>antiinflammatory</w:t>
      </w:r>
      <w:proofErr w:type="spellEnd"/>
      <w:r w:rsidRPr="003E1652">
        <w:t xml:space="preserve"> drugs and peptic ulcer disease. Ann Intern Med </w:t>
      </w:r>
      <w:proofErr w:type="gramStart"/>
      <w:r w:rsidRPr="003E1652">
        <w:t>1991;114:307</w:t>
      </w:r>
      <w:proofErr w:type="gramEnd"/>
      <w:r w:rsidRPr="003E1652">
        <w:t>-19</w:t>
      </w:r>
    </w:p>
    <w:p w:rsidR="001051DE" w:rsidRPr="003E1652" w:rsidRDefault="001051DE" w:rsidP="003E1652">
      <w:pPr>
        <w:pStyle w:val="a3"/>
        <w:spacing w:before="90" w:line="280" w:lineRule="auto"/>
        <w:ind w:left="100"/>
        <w:jc w:val="both"/>
      </w:pPr>
      <w:r w:rsidRPr="003E1652">
        <w:t xml:space="preserve">2. Garcia Rodriguez LA, </w:t>
      </w:r>
      <w:proofErr w:type="spellStart"/>
      <w:r w:rsidRPr="003E1652">
        <w:t>Jick</w:t>
      </w:r>
      <w:proofErr w:type="spellEnd"/>
      <w:r w:rsidRPr="003E1652">
        <w:t xml:space="preserve"> H. Risk of upper gastrointestinal bleeding and perforation associated with individual non-steroidal </w:t>
      </w:r>
      <w:proofErr w:type="spellStart"/>
      <w:r w:rsidRPr="003E1652">
        <w:t>antiinflammatory</w:t>
      </w:r>
      <w:proofErr w:type="spellEnd"/>
      <w:r w:rsidRPr="003E1652">
        <w:t xml:space="preserve"> drugs. Lancet </w:t>
      </w:r>
      <w:proofErr w:type="gramStart"/>
      <w:r w:rsidRPr="003E1652">
        <w:t>1994;343:769</w:t>
      </w:r>
      <w:proofErr w:type="gramEnd"/>
      <w:r w:rsidRPr="003E1652">
        <w:t>-72</w:t>
      </w:r>
    </w:p>
    <w:p w:rsidR="001051DE" w:rsidRPr="003E1652" w:rsidRDefault="001051DE" w:rsidP="003E1652">
      <w:pPr>
        <w:pStyle w:val="a3"/>
        <w:spacing w:before="90" w:line="280" w:lineRule="auto"/>
        <w:ind w:left="100"/>
        <w:jc w:val="both"/>
      </w:pPr>
      <w:r w:rsidRPr="003E1652">
        <w:t xml:space="preserve">3. Laine L. Nonsteroidal anti-inflammatory drug </w:t>
      </w:r>
      <w:proofErr w:type="spellStart"/>
      <w:r w:rsidRPr="003E1652">
        <w:t>gastropathy</w:t>
      </w:r>
      <w:proofErr w:type="spellEnd"/>
      <w:r w:rsidRPr="003E1652">
        <w:t xml:space="preserve">. </w:t>
      </w:r>
      <w:proofErr w:type="spellStart"/>
      <w:r w:rsidRPr="003E1652">
        <w:t>Gastrointest</w:t>
      </w:r>
      <w:proofErr w:type="spellEnd"/>
      <w:r w:rsidRPr="003E1652">
        <w:t xml:space="preserve"> </w:t>
      </w:r>
      <w:proofErr w:type="spellStart"/>
      <w:r w:rsidRPr="003E1652">
        <w:t>Endosc</w:t>
      </w:r>
      <w:proofErr w:type="spellEnd"/>
      <w:r w:rsidRPr="003E1652">
        <w:t xml:space="preserve"> </w:t>
      </w:r>
      <w:proofErr w:type="spellStart"/>
      <w:r w:rsidRPr="003E1652">
        <w:t>Clin</w:t>
      </w:r>
      <w:proofErr w:type="spellEnd"/>
      <w:r w:rsidRPr="003E1652">
        <w:t xml:space="preserve"> N Am </w:t>
      </w:r>
      <w:proofErr w:type="gramStart"/>
      <w:r w:rsidRPr="003E1652">
        <w:t>1996;6:489</w:t>
      </w:r>
      <w:proofErr w:type="gramEnd"/>
      <w:r w:rsidRPr="003E1652">
        <w:t>-504</w:t>
      </w:r>
    </w:p>
    <w:p w:rsidR="001051DE" w:rsidRPr="003E1652" w:rsidRDefault="001051DE" w:rsidP="003E1652">
      <w:pPr>
        <w:pStyle w:val="a3"/>
        <w:spacing w:before="90" w:line="280" w:lineRule="auto"/>
        <w:ind w:left="100"/>
        <w:jc w:val="both"/>
      </w:pPr>
      <w:r w:rsidRPr="003E1652">
        <w:t xml:space="preserve">4. Silverstein FE, Graham DY, Senior JR, et al. Misoprostol reduces serious gastrointestinal complications in patients with rheumatoid arthritis receiving nonsteroidal anti-inflammatory drugs. A randomized, double-blind, placebo-controlled trial. Ann Intern Med </w:t>
      </w:r>
      <w:proofErr w:type="gramStart"/>
      <w:r w:rsidRPr="003E1652">
        <w:t>1995;123:241</w:t>
      </w:r>
      <w:proofErr w:type="gramEnd"/>
      <w:r w:rsidRPr="003E1652">
        <w:t>-9</w:t>
      </w:r>
    </w:p>
    <w:p w:rsidR="001051DE" w:rsidRPr="003E1652" w:rsidRDefault="001051DE" w:rsidP="003E1652">
      <w:pPr>
        <w:pStyle w:val="a3"/>
        <w:spacing w:before="90" w:line="280" w:lineRule="auto"/>
        <w:ind w:left="100"/>
        <w:jc w:val="both"/>
      </w:pPr>
      <w:r w:rsidRPr="003E1652">
        <w:t xml:space="preserve">5. Singh G, Fort JG, Goldstein JL, et al. Celecoxib versus naproxen and diclofenac in osteoarthritis patients: SUCCESS-I Study. Am J Med </w:t>
      </w:r>
      <w:proofErr w:type="gramStart"/>
      <w:r w:rsidRPr="003E1652">
        <w:t>2006;119:255</w:t>
      </w:r>
      <w:proofErr w:type="gramEnd"/>
      <w:r w:rsidRPr="003E1652">
        <w:t>-66</w:t>
      </w: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Pr="00D20373" w:rsidRDefault="00AE3E37">
      <w:pPr>
        <w:pStyle w:val="a3"/>
        <w:rPr>
          <w:rFonts w:ascii="Calibri" w:eastAsiaTheme="minorEastAsia"/>
          <w:sz w:val="20"/>
          <w:lang w:eastAsia="zh-CN"/>
        </w:rPr>
      </w:pPr>
    </w:p>
    <w:p w:rsidR="00AE3E37" w:rsidRDefault="00AE3E37">
      <w:pPr>
        <w:pStyle w:val="a3"/>
        <w:rPr>
          <w:rFonts w:ascii="Calibri"/>
          <w:sz w:val="20"/>
        </w:rPr>
      </w:pPr>
    </w:p>
    <w:p w:rsidR="00AE3E37" w:rsidRDefault="00AE3E37">
      <w:pPr>
        <w:pStyle w:val="a3"/>
        <w:spacing w:before="5" w:after="1"/>
        <w:rPr>
          <w:rFonts w:ascii="Calibri"/>
          <w:sz w:val="29"/>
        </w:rPr>
      </w:pPr>
    </w:p>
    <w:p w:rsidR="00AE3E37" w:rsidRDefault="009432FE">
      <w:pPr>
        <w:pStyle w:val="a3"/>
        <w:spacing w:line="40" w:lineRule="exact"/>
        <w:ind w:left="2202"/>
        <w:rPr>
          <w:rFonts w:ascii="Calibri"/>
          <w:sz w:val="4"/>
        </w:rPr>
      </w:pPr>
      <w:r>
        <w:rPr>
          <w:rFonts w:ascii="Calibri"/>
          <w:sz w:val="4"/>
        </w:rPr>
      </w:r>
      <w:r>
        <w:rPr>
          <w:rFonts w:ascii="Calibri"/>
          <w:sz w:val="4"/>
        </w:rPr>
        <w:pict>
          <v:group id="_x0000_s1028" style="width:313.05pt;height:2pt;mso-position-horizontal-relative:char;mso-position-vertical-relative:line" coordsize="6261,40">
            <v:line id="_x0000_s1029" style="position:absolute" from="20,20" to="6241,20" strokecolor="#004080" strokeweight="2pt"/>
            <w10:wrap type="none"/>
            <w10:anchorlock/>
          </v:group>
        </w:pict>
      </w:r>
    </w:p>
    <w:p w:rsidR="00AE3E37" w:rsidRDefault="004F3523" w:rsidP="00404E5B">
      <w:pPr>
        <w:spacing w:before="92"/>
        <w:ind w:right="4234"/>
        <w:rPr>
          <w:rFonts w:ascii="Arial"/>
        </w:rPr>
      </w:pPr>
      <w:r>
        <w:rPr>
          <w:noProof/>
          <w:lang w:eastAsia="zh-CN"/>
        </w:rPr>
        <w:drawing>
          <wp:anchor distT="0" distB="0" distL="114300" distR="114300" simplePos="0" relativeHeight="251659264" behindDoc="0" locked="0" layoutInCell="1" allowOverlap="1">
            <wp:simplePos x="0" y="0"/>
            <wp:positionH relativeFrom="column">
              <wp:posOffset>139700</wp:posOffset>
            </wp:positionH>
            <wp:positionV relativeFrom="paragraph">
              <wp:posOffset>140335</wp:posOffset>
            </wp:positionV>
            <wp:extent cx="572135" cy="68072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omicsgroup.com/conferences/ACS/conference/photos/Probiotics-2015-Miralimova-Sh-33667.png"/>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572135" cy="680720"/>
                    </a:xfrm>
                    <a:prstGeom prst="rect">
                      <a:avLst/>
                    </a:prstGeom>
                    <a:noFill/>
                    <a:ln>
                      <a:noFill/>
                    </a:ln>
                  </pic:spPr>
                </pic:pic>
              </a:graphicData>
            </a:graphic>
            <wp14:sizeRelV relativeFrom="margin">
              <wp14:pctHeight>0</wp14:pctHeight>
            </wp14:sizeRelV>
          </wp:anchor>
        </w:drawing>
      </w:r>
      <w:r w:rsidR="00404E5B">
        <w:rPr>
          <w:rFonts w:ascii="Arial"/>
          <w:color w:val="BF5A14"/>
        </w:rPr>
        <w:t xml:space="preserve">                                         </w:t>
      </w:r>
      <w:r w:rsidR="00226848">
        <w:rPr>
          <w:rFonts w:ascii="Arial"/>
          <w:color w:val="BF5A14"/>
        </w:rPr>
        <w:t xml:space="preserve">                </w:t>
      </w:r>
      <w:r w:rsidR="00404E5B">
        <w:rPr>
          <w:rFonts w:ascii="Arial"/>
          <w:color w:val="BF5A14"/>
        </w:rPr>
        <w:t xml:space="preserve"> </w:t>
      </w:r>
      <w:r w:rsidR="00A9710C">
        <w:rPr>
          <w:rFonts w:ascii="Arial"/>
          <w:color w:val="BF5A14"/>
        </w:rPr>
        <w:t>Biography</w:t>
      </w:r>
      <w:r w:rsidR="00404E5B">
        <w:rPr>
          <w:rFonts w:ascii="Arial"/>
          <w:color w:val="BF5A14"/>
        </w:rPr>
        <w:t xml:space="preserve"> </w:t>
      </w:r>
    </w:p>
    <w:p w:rsidR="00AE3E37" w:rsidRDefault="00661FA4">
      <w:pPr>
        <w:spacing w:before="41" w:line="154" w:lineRule="exact"/>
        <w:ind w:left="213" w:right="231"/>
        <w:jc w:val="both"/>
        <w:rPr>
          <w:rFonts w:ascii="Arial"/>
          <w:sz w:val="14"/>
        </w:rPr>
      </w:pPr>
      <w:r>
        <w:rPr>
          <w:rFonts w:ascii="Arial"/>
          <w:sz w:val="14"/>
        </w:rPr>
        <w:t xml:space="preserve">Head of </w:t>
      </w:r>
      <w:r w:rsidRPr="00661FA4">
        <w:rPr>
          <w:rFonts w:ascii="Arial"/>
          <w:sz w:val="14"/>
        </w:rPr>
        <w:t xml:space="preserve">Department of Gastroenterology, </w:t>
      </w:r>
      <w:proofErr w:type="spellStart"/>
      <w:r w:rsidRPr="00661FA4">
        <w:rPr>
          <w:rFonts w:ascii="Arial"/>
          <w:sz w:val="14"/>
        </w:rPr>
        <w:t>Songgang</w:t>
      </w:r>
      <w:proofErr w:type="spellEnd"/>
      <w:r w:rsidRPr="00661FA4">
        <w:rPr>
          <w:rFonts w:ascii="Arial"/>
          <w:sz w:val="14"/>
        </w:rPr>
        <w:t xml:space="preserve"> People</w:t>
      </w:r>
      <w:r w:rsidRPr="00661FA4">
        <w:rPr>
          <w:rFonts w:ascii="Arial"/>
          <w:sz w:val="14"/>
        </w:rPr>
        <w:t>’</w:t>
      </w:r>
      <w:r w:rsidRPr="00661FA4">
        <w:rPr>
          <w:rFonts w:ascii="Arial"/>
          <w:sz w:val="14"/>
        </w:rPr>
        <w:t>s Hospital, Shenzhen, Guangdong, China</w:t>
      </w:r>
      <w:r w:rsidR="001051DE">
        <w:rPr>
          <w:rFonts w:ascii="Arial"/>
          <w:sz w:val="14"/>
        </w:rPr>
        <w:t xml:space="preserve">. </w:t>
      </w:r>
      <w:r w:rsidR="001051DE" w:rsidRPr="001051DE">
        <w:rPr>
          <w:rFonts w:ascii="Arial"/>
          <w:sz w:val="14"/>
        </w:rPr>
        <w:t>Adjunct Professor</w:t>
      </w:r>
      <w:r w:rsidR="001051DE">
        <w:rPr>
          <w:rFonts w:ascii="Arial"/>
          <w:sz w:val="14"/>
        </w:rPr>
        <w:t xml:space="preserve"> of </w:t>
      </w:r>
      <w:r w:rsidR="001051DE" w:rsidRPr="001051DE">
        <w:rPr>
          <w:rFonts w:ascii="Arial"/>
          <w:sz w:val="14"/>
        </w:rPr>
        <w:t>Guangzhou University of Chinese Medicine</w:t>
      </w:r>
      <w:r w:rsidR="001051DE">
        <w:rPr>
          <w:rFonts w:ascii="Arial"/>
          <w:sz w:val="14"/>
        </w:rPr>
        <w:t xml:space="preserve">. </w:t>
      </w:r>
      <w:r w:rsidR="00603869">
        <w:rPr>
          <w:rFonts w:ascii="Arial"/>
          <w:sz w:val="14"/>
        </w:rPr>
        <w:t>T</w:t>
      </w:r>
      <w:r w:rsidR="001051DE" w:rsidRPr="001051DE">
        <w:rPr>
          <w:rFonts w:ascii="Arial"/>
          <w:sz w:val="14"/>
        </w:rPr>
        <w:t xml:space="preserve">he </w:t>
      </w:r>
      <w:r w:rsidR="00226848">
        <w:rPr>
          <w:rFonts w:ascii="Arial"/>
          <w:sz w:val="14"/>
        </w:rPr>
        <w:t>A</w:t>
      </w:r>
      <w:r w:rsidR="001051DE" w:rsidRPr="001051DE">
        <w:rPr>
          <w:rFonts w:ascii="Arial"/>
          <w:sz w:val="14"/>
        </w:rPr>
        <w:t xml:space="preserve">dvanced </w:t>
      </w:r>
      <w:r w:rsidR="00226848">
        <w:rPr>
          <w:rFonts w:ascii="Arial"/>
          <w:sz w:val="14"/>
        </w:rPr>
        <w:t>P</w:t>
      </w:r>
      <w:r w:rsidR="001051DE" w:rsidRPr="001051DE">
        <w:rPr>
          <w:rFonts w:ascii="Arial"/>
          <w:sz w:val="14"/>
        </w:rPr>
        <w:t>ersonnel</w:t>
      </w:r>
      <w:r w:rsidR="00603869">
        <w:rPr>
          <w:rFonts w:ascii="Arial"/>
          <w:sz w:val="14"/>
        </w:rPr>
        <w:t xml:space="preserve"> in Shenzhen</w:t>
      </w:r>
      <w:r w:rsidR="00226848">
        <w:rPr>
          <w:rFonts w:ascii="Arial"/>
          <w:sz w:val="14"/>
        </w:rPr>
        <w:t>, China</w:t>
      </w:r>
      <w:r w:rsidR="00603869">
        <w:rPr>
          <w:rFonts w:ascii="Arial"/>
          <w:sz w:val="14"/>
        </w:rPr>
        <w:t>.</w:t>
      </w:r>
      <w:r w:rsidR="009B0453">
        <w:rPr>
          <w:rFonts w:ascii="Arial"/>
          <w:sz w:val="14"/>
        </w:rPr>
        <w:t xml:space="preserve"> The</w:t>
      </w:r>
      <w:r w:rsidR="00603869">
        <w:rPr>
          <w:rFonts w:ascii="Arial"/>
          <w:sz w:val="14"/>
        </w:rPr>
        <w:t xml:space="preserve"> Vice-chairma</w:t>
      </w:r>
      <w:r w:rsidR="00603869" w:rsidRPr="00603869">
        <w:rPr>
          <w:rFonts w:ascii="Arial"/>
          <w:sz w:val="14"/>
        </w:rPr>
        <w:t>n</w:t>
      </w:r>
      <w:r w:rsidR="00226848">
        <w:rPr>
          <w:rFonts w:ascii="Arial"/>
          <w:sz w:val="14"/>
        </w:rPr>
        <w:t xml:space="preserve"> in</w:t>
      </w:r>
      <w:r w:rsidR="00226848" w:rsidRPr="00661FA4">
        <w:rPr>
          <w:rFonts w:ascii="Arial"/>
          <w:sz w:val="14"/>
        </w:rPr>
        <w:t xml:space="preserve"> Gastroenterology</w:t>
      </w:r>
      <w:r w:rsidR="00603869" w:rsidRPr="00603869">
        <w:rPr>
          <w:rFonts w:ascii="Arial"/>
          <w:sz w:val="14"/>
        </w:rPr>
        <w:t xml:space="preserve"> </w:t>
      </w:r>
      <w:r w:rsidR="00603869">
        <w:rPr>
          <w:rFonts w:ascii="Arial"/>
          <w:sz w:val="14"/>
        </w:rPr>
        <w:t>of C</w:t>
      </w:r>
      <w:r w:rsidR="00603869" w:rsidRPr="00603869">
        <w:rPr>
          <w:rFonts w:ascii="Arial"/>
          <w:sz w:val="14"/>
        </w:rPr>
        <w:t>onference</w:t>
      </w:r>
      <w:r w:rsidR="00226848">
        <w:rPr>
          <w:rFonts w:ascii="Arial"/>
          <w:sz w:val="14"/>
        </w:rPr>
        <w:t xml:space="preserve"> on T</w:t>
      </w:r>
      <w:r w:rsidR="00603869">
        <w:rPr>
          <w:rFonts w:ascii="Arial"/>
          <w:sz w:val="14"/>
        </w:rPr>
        <w:t xml:space="preserve">raditional Chinese </w:t>
      </w:r>
      <w:r w:rsidR="00226848">
        <w:rPr>
          <w:rFonts w:ascii="Arial"/>
          <w:sz w:val="14"/>
        </w:rPr>
        <w:t>M</w:t>
      </w:r>
      <w:r w:rsidR="00603869">
        <w:rPr>
          <w:rFonts w:ascii="Arial"/>
          <w:sz w:val="14"/>
        </w:rPr>
        <w:t>edicine in Shenzhen</w:t>
      </w:r>
      <w:r w:rsidR="00226848">
        <w:rPr>
          <w:rFonts w:ascii="Arial"/>
          <w:sz w:val="14"/>
        </w:rPr>
        <w:t>, China</w:t>
      </w:r>
      <w:r w:rsidR="00226848">
        <w:rPr>
          <w:rFonts w:asciiTheme="minorEastAsia" w:eastAsiaTheme="minorEastAsia" w:hAnsiTheme="minorEastAsia" w:hint="eastAsia"/>
          <w:sz w:val="14"/>
          <w:lang w:eastAsia="zh-CN"/>
        </w:rPr>
        <w:t>.</w:t>
      </w:r>
      <w:r w:rsidR="00226848">
        <w:rPr>
          <w:rFonts w:asciiTheme="minorEastAsia" w:eastAsiaTheme="minorEastAsia" w:hAnsiTheme="minorEastAsia"/>
          <w:sz w:val="14"/>
          <w:lang w:eastAsia="zh-CN"/>
        </w:rPr>
        <w:t xml:space="preserve"> </w:t>
      </w:r>
      <w:proofErr w:type="spellStart"/>
      <w:r w:rsidR="00226848" w:rsidRPr="00226848">
        <w:rPr>
          <w:rFonts w:ascii="Arial" w:hint="eastAsia"/>
          <w:sz w:val="14"/>
        </w:rPr>
        <w:t>Pingguang</w:t>
      </w:r>
      <w:proofErr w:type="spellEnd"/>
      <w:r w:rsidR="00226848" w:rsidRPr="00226848">
        <w:rPr>
          <w:rFonts w:ascii="Arial" w:hint="eastAsia"/>
          <w:sz w:val="14"/>
        </w:rPr>
        <w:t xml:space="preserve"> Lei </w:t>
      </w:r>
      <w:r w:rsidR="00226848" w:rsidRPr="00226848">
        <w:rPr>
          <w:rFonts w:ascii="Arial"/>
          <w:sz w:val="14"/>
        </w:rPr>
        <w:t xml:space="preserve">has his expertise in </w:t>
      </w:r>
      <w:r w:rsidR="00226848">
        <w:rPr>
          <w:rFonts w:ascii="Arial"/>
          <w:sz w:val="14"/>
        </w:rPr>
        <w:t>g</w:t>
      </w:r>
      <w:r w:rsidR="00226848" w:rsidRPr="00661FA4">
        <w:rPr>
          <w:rFonts w:ascii="Arial"/>
          <w:sz w:val="14"/>
        </w:rPr>
        <w:t>astroenterology</w:t>
      </w:r>
      <w:r w:rsidR="00226848" w:rsidRPr="00603869">
        <w:rPr>
          <w:rFonts w:ascii="Arial"/>
          <w:sz w:val="14"/>
        </w:rPr>
        <w:t xml:space="preserve"> </w:t>
      </w:r>
      <w:r w:rsidR="00226848">
        <w:rPr>
          <w:rFonts w:ascii="Arial"/>
          <w:sz w:val="14"/>
        </w:rPr>
        <w:t xml:space="preserve">and hepatology as well as endoscopic therapy, with more than </w:t>
      </w:r>
      <w:r w:rsidR="00226848" w:rsidRPr="00226848">
        <w:rPr>
          <w:rFonts w:ascii="Arial"/>
          <w:sz w:val="14"/>
        </w:rPr>
        <w:t>21-year clinical practice experience.</w:t>
      </w:r>
    </w:p>
    <w:p w:rsidR="00AE3E37" w:rsidRDefault="00A9710C">
      <w:pPr>
        <w:spacing w:before="62"/>
        <w:ind w:left="4217" w:right="4235"/>
        <w:jc w:val="center"/>
        <w:rPr>
          <w:rFonts w:ascii="Arial"/>
          <w:sz w:val="14"/>
        </w:rPr>
      </w:pPr>
      <w:r>
        <w:rPr>
          <w:rFonts w:ascii="Arial"/>
          <w:sz w:val="14"/>
        </w:rPr>
        <w:t xml:space="preserve">Email: </w:t>
      </w:r>
      <w:r w:rsidR="00661FA4" w:rsidRPr="00661FA4">
        <w:rPr>
          <w:rFonts w:ascii="Arial"/>
          <w:color w:val="004080"/>
          <w:sz w:val="14"/>
        </w:rPr>
        <w:t>18002575273@163.com</w:t>
      </w:r>
    </w:p>
    <w:p w:rsidR="00AE3E37" w:rsidRDefault="009432FE">
      <w:pPr>
        <w:pStyle w:val="a3"/>
        <w:spacing w:before="2"/>
        <w:rPr>
          <w:rFonts w:ascii="Arial"/>
          <w:sz w:val="19"/>
        </w:rPr>
      </w:pPr>
      <w:r>
        <w:pict>
          <v:line id="_x0000_s1027" style="position:absolute;z-index:1072;mso-wrap-distance-left:0;mso-wrap-distance-right:0;mso-position-horizontal-relative:page" from="162.1pt,13.25pt" to="433.15pt,13.25pt" strokecolor="#004080" strokeweight=".5pt">
            <w10:wrap type="topAndBottom" anchorx="page"/>
          </v:line>
        </w:pict>
      </w:r>
    </w:p>
    <w:p w:rsidR="00AE3E37" w:rsidRDefault="00AE3E37">
      <w:pPr>
        <w:pStyle w:val="a3"/>
        <w:rPr>
          <w:rFonts w:ascii="Arial"/>
          <w:sz w:val="20"/>
        </w:rPr>
      </w:pPr>
    </w:p>
    <w:p w:rsidR="00AE3E37" w:rsidRDefault="00AE3E37">
      <w:pPr>
        <w:pStyle w:val="a3"/>
        <w:rPr>
          <w:rFonts w:ascii="Arial"/>
          <w:sz w:val="20"/>
        </w:rPr>
      </w:pPr>
    </w:p>
    <w:p w:rsidR="00AE3E37" w:rsidRDefault="00AE3E37">
      <w:pPr>
        <w:pStyle w:val="a3"/>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1051DE" w:rsidRDefault="00A9710C" w:rsidP="001051DE">
      <w:pPr>
        <w:spacing w:line="204" w:lineRule="exact"/>
        <w:rPr>
          <w:rFonts w:ascii="Calibri" w:hAnsi="Calibri"/>
        </w:rPr>
      </w:pPr>
      <w:r>
        <w:br w:type="column"/>
      </w:r>
    </w:p>
    <w:p w:rsidR="00AE3E37" w:rsidRDefault="00AE3E37">
      <w:pPr>
        <w:pStyle w:val="a3"/>
        <w:spacing w:before="85" w:line="216" w:lineRule="exact"/>
        <w:ind w:left="383" w:right="138" w:hanging="284"/>
        <w:jc w:val="both"/>
        <w:rPr>
          <w:rFonts w:ascii="Calibri" w:hAnsi="Calibri"/>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32FE" w:rsidRDefault="009432FE">
      <w:r>
        <w:separator/>
      </w:r>
    </w:p>
  </w:endnote>
  <w:endnote w:type="continuationSeparator" w:id="0">
    <w:p w:rsidR="009432FE" w:rsidRDefault="009432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9432FE">
    <w:pPr>
      <w:pStyle w:val="a3"/>
      <w:spacing w:line="14" w:lineRule="auto"/>
      <w:rPr>
        <w:sz w:val="20"/>
      </w:rPr>
    </w:pPr>
    <w:r>
      <w:pict>
        <v:shapetype id="_x0000_t202" coordsize="21600,21600" o:spt="202" path="m,l,21600r21600,l21600,xe">
          <v:stroke joinstyle="miter"/>
          <v:path gradientshapeok="t" o:connecttype="rect"/>
        </v:shapetype>
        <v:shape id="_x0000_s2051" type="#_x0000_t202" style="position:absolute;margin-left:35pt;margin-top:798.8pt;width:168.2pt;height:19.6pt;z-index:-4552;mso-position-horizontal-relative:page;mso-position-vertical-relative:page" filled="f" stroked="f">
          <v:textbox style="mso-next-textbox:#_x0000_s2051"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pict>
        <v:shape id="_x0000_s2050" type="#_x0000_t202" style="position:absolute;margin-left:252.1pt;margin-top:799.05pt;width:91.9pt;height:24.95pt;z-index:-4528;mso-position-horizontal-relative:page;mso-position-vertical-relative:page" filled="f" stroked="f">
          <v:textbox style="mso-next-textbox:#_x0000_s2050"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pict>
        <v:shape id="_x0000_s2049" type="#_x0000_t202" style="position:absolute;margin-left:468.9pt;margin-top:798.8pt;width:91.4pt;height:26.05pt;z-index:-4504;mso-position-horizontal-relative:page;mso-position-vertical-relative:page" filled="f" stroked="f">
          <v:textbox style="mso-next-textbox:#_x0000_s2049"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32FE" w:rsidRDefault="009432FE">
      <w:r>
        <w:separator/>
      </w:r>
    </w:p>
  </w:footnote>
  <w:footnote w:type="continuationSeparator" w:id="0">
    <w:p w:rsidR="009432FE" w:rsidRDefault="009432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9432FE">
    <w:pPr>
      <w:pStyle w:val="a3"/>
      <w:spacing w:line="14" w:lineRule="auto"/>
      <w:rPr>
        <w:sz w:val="20"/>
      </w:rPr>
    </w:pPr>
    <w:r>
      <w:pict>
        <v:shapetype id="_x0000_t202" coordsize="21600,21600" o:spt="202" path="m,l,21600r21600,l21600,xe">
          <v:stroke joinstyle="miter"/>
          <v:path gradientshapeok="t" o:connecttype="rect"/>
        </v:shapetype>
        <v:shape id="_x0000_s2053" type="#_x0000_t202" style="position:absolute;margin-left:416pt;margin-top:26.05pt;width:144.3pt;height:17.4pt;z-index:-4600;mso-position-horizontal-relative:page;mso-position-vertical-relative:page" filled="f" stroked="f">
          <v:textbox style="mso-next-textbox:#_x0000_s2053"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pict>
        <v:shape id="_x0000_s2052" type="#_x0000_t202" style="position:absolute;margin-left:35pt;margin-top:48.3pt;width:515.95pt;height:40.1pt;z-index:-4576;mso-position-horizontal-relative:page;mso-position-vertical-relative:page" filled="f" stroked="f">
          <v:textbox style="mso-next-textbox:#_x0000_s2052"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ulTrailSpace/>
    <w:useFELayout/>
    <w:compatSetting w:name="compatibilityMode" w:uri="http://schemas.microsoft.com/office/word" w:val="12"/>
  </w:compat>
  <w:rsids>
    <w:rsidRoot w:val="00AE3E37"/>
    <w:rsid w:val="00035624"/>
    <w:rsid w:val="000E2911"/>
    <w:rsid w:val="001051DE"/>
    <w:rsid w:val="001263DF"/>
    <w:rsid w:val="00226848"/>
    <w:rsid w:val="003E1652"/>
    <w:rsid w:val="00404E5B"/>
    <w:rsid w:val="00414F7B"/>
    <w:rsid w:val="004355DC"/>
    <w:rsid w:val="004749B4"/>
    <w:rsid w:val="004A1F74"/>
    <w:rsid w:val="004F3523"/>
    <w:rsid w:val="005B3A56"/>
    <w:rsid w:val="00603869"/>
    <w:rsid w:val="006060CE"/>
    <w:rsid w:val="00625EB8"/>
    <w:rsid w:val="0063497F"/>
    <w:rsid w:val="00661FA4"/>
    <w:rsid w:val="00703E81"/>
    <w:rsid w:val="007A25A6"/>
    <w:rsid w:val="00873DF0"/>
    <w:rsid w:val="009432FE"/>
    <w:rsid w:val="009B0453"/>
    <w:rsid w:val="009B2D44"/>
    <w:rsid w:val="00A9710C"/>
    <w:rsid w:val="00AE3E37"/>
    <w:rsid w:val="00B21A57"/>
    <w:rsid w:val="00B3757A"/>
    <w:rsid w:val="00C33602"/>
    <w:rsid w:val="00CD6F55"/>
    <w:rsid w:val="00D20373"/>
    <w:rsid w:val="00E74E73"/>
    <w:rsid w:val="00F72EEA"/>
    <w:rsid w:val="00F84CAE"/>
    <w:rsid w:val="00FE752A"/>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14:docId w14:val="22C3094D"/>
  <w15:docId w15:val="{09EA0EC9-E16C-4AC8-83DC-F4B920D70A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a6"/>
    <w:uiPriority w:val="99"/>
    <w:unhideWhenUsed/>
    <w:rsid w:val="005B3A56"/>
    <w:pPr>
      <w:tabs>
        <w:tab w:val="center" w:pos="4513"/>
        <w:tab w:val="right" w:pos="9026"/>
      </w:tabs>
    </w:pPr>
  </w:style>
  <w:style w:type="character" w:customStyle="1" w:styleId="a6">
    <w:name w:val="页眉 字符"/>
    <w:basedOn w:val="a0"/>
    <w:link w:val="a5"/>
    <w:uiPriority w:val="99"/>
    <w:rsid w:val="005B3A56"/>
    <w:rPr>
      <w:rFonts w:ascii="Tw Cen MT" w:eastAsia="Tw Cen MT" w:hAnsi="Tw Cen MT" w:cs="Tw Cen MT"/>
    </w:rPr>
  </w:style>
  <w:style w:type="paragraph" w:styleId="a7">
    <w:name w:val="footer"/>
    <w:basedOn w:val="a"/>
    <w:link w:val="a8"/>
    <w:uiPriority w:val="99"/>
    <w:unhideWhenUsed/>
    <w:rsid w:val="005B3A56"/>
    <w:pPr>
      <w:tabs>
        <w:tab w:val="center" w:pos="4513"/>
        <w:tab w:val="right" w:pos="9026"/>
      </w:tabs>
    </w:pPr>
  </w:style>
  <w:style w:type="character" w:customStyle="1" w:styleId="a8">
    <w:name w:val="页脚 字符"/>
    <w:basedOn w:val="a0"/>
    <w:link w:val="a7"/>
    <w:uiPriority w:val="99"/>
    <w:rsid w:val="005B3A56"/>
    <w:rPr>
      <w:rFonts w:ascii="Tw Cen MT" w:eastAsia="Tw Cen MT" w:hAnsi="Tw Cen MT" w:cs="Tw Cen MT"/>
    </w:rPr>
  </w:style>
  <w:style w:type="paragraph" w:styleId="a9">
    <w:name w:val="Balloon Text"/>
    <w:basedOn w:val="a"/>
    <w:link w:val="aa"/>
    <w:uiPriority w:val="99"/>
    <w:semiHidden/>
    <w:unhideWhenUsed/>
    <w:rsid w:val="004F3523"/>
    <w:rPr>
      <w:rFonts w:ascii="Tahoma" w:hAnsi="Tahoma" w:cs="Tahoma"/>
      <w:sz w:val="16"/>
      <w:szCs w:val="16"/>
    </w:rPr>
  </w:style>
  <w:style w:type="character" w:customStyle="1" w:styleId="aa">
    <w:name w:val="批注框文本 字符"/>
    <w:basedOn w:val="a0"/>
    <w:link w:val="a9"/>
    <w:uiPriority w:val="99"/>
    <w:semiHidden/>
    <w:rsid w:val="004F3523"/>
    <w:rPr>
      <w:rFonts w:ascii="Tahoma" w:eastAsia="Tw Cen MT"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79</TotalTime>
  <Pages>1</Pages>
  <Words>533</Words>
  <Characters>3043</Characters>
  <Application>Microsoft Office Word</Application>
  <DocSecurity>0</DocSecurity>
  <Lines>25</Lines>
  <Paragraphs>7</Paragraphs>
  <ScaleCrop>false</ScaleCrop>
  <Company>Microsoft</Company>
  <LinksUpToDate>false</LinksUpToDate>
  <CharactersWithSpaces>3569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Johnny Poon</cp:lastModifiedBy>
  <cp:revision>7</cp:revision>
  <dcterms:created xsi:type="dcterms:W3CDTF">2017-03-24T12:34:00Z</dcterms:created>
  <dcterms:modified xsi:type="dcterms:W3CDTF">2017-03-24T14:18:00Z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