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44E13" w:rsidRDefault="00D44E13" w:rsidP="00D44E13">
      <w:pPr>
        <w:widowControl w:val="0"/>
        <w:autoSpaceDE w:val="0"/>
        <w:autoSpaceDN w:val="0"/>
        <w:adjustRightInd w:val="0"/>
        <w:jc w:val="both"/>
        <w:rPr>
          <w:b/>
          <w:bCs/>
          <w:sz w:val="28"/>
          <w:szCs w:val="28"/>
          <w:lang w:bidi="ar-EG"/>
        </w:rPr>
      </w:pPr>
      <w:r w:rsidRPr="009E03C1">
        <w:rPr>
          <w:b/>
          <w:bCs/>
          <w:sz w:val="28"/>
          <w:szCs w:val="28"/>
          <w:lang w:bidi="ar-EG"/>
        </w:rPr>
        <w:t>Chitotriosidase Enzyme Activity and MiRNA-146a Expression and Their Value as Potential Biomarkers of Subclinical Atherosclerosis in Type 2 Diabetes Mellitus</w:t>
      </w:r>
    </w:p>
    <w:p w:rsidR="00D44E13" w:rsidRPr="009E03C1" w:rsidRDefault="00D44E13" w:rsidP="00D44E13">
      <w:pPr>
        <w:widowControl w:val="0"/>
        <w:autoSpaceDE w:val="0"/>
        <w:autoSpaceDN w:val="0"/>
        <w:adjustRightInd w:val="0"/>
        <w:jc w:val="center"/>
        <w:rPr>
          <w:bCs/>
          <w:sz w:val="28"/>
          <w:szCs w:val="28"/>
        </w:rPr>
      </w:pPr>
      <w:r w:rsidRPr="009E03C1">
        <w:rPr>
          <w:bCs/>
          <w:sz w:val="28"/>
          <w:szCs w:val="28"/>
        </w:rPr>
        <w:t>Hala Mourad Demerdash</w:t>
      </w:r>
      <w:r w:rsidRPr="009E03C1">
        <w:rPr>
          <w:bCs/>
          <w:sz w:val="28"/>
          <w:szCs w:val="28"/>
          <w:vertAlign w:val="superscript"/>
        </w:rPr>
        <w:t>1</w:t>
      </w:r>
      <w:r w:rsidRPr="009E03C1">
        <w:rPr>
          <w:bCs/>
          <w:sz w:val="28"/>
          <w:szCs w:val="28"/>
        </w:rPr>
        <w:t xml:space="preserve">*, </w:t>
      </w:r>
      <w:proofErr w:type="spellStart"/>
      <w:r w:rsidRPr="009E03C1">
        <w:rPr>
          <w:bCs/>
          <w:sz w:val="28"/>
          <w:szCs w:val="28"/>
        </w:rPr>
        <w:t>Radwa</w:t>
      </w:r>
      <w:proofErr w:type="spellEnd"/>
      <w:r w:rsidRPr="009E03C1">
        <w:rPr>
          <w:bCs/>
          <w:sz w:val="28"/>
          <w:szCs w:val="28"/>
        </w:rPr>
        <w:t xml:space="preserve"> Mohamed ElSharaby</w:t>
      </w:r>
      <w:r w:rsidRPr="009E03C1">
        <w:rPr>
          <w:bCs/>
          <w:sz w:val="28"/>
          <w:szCs w:val="28"/>
          <w:vertAlign w:val="superscript"/>
        </w:rPr>
        <w:t>2</w:t>
      </w:r>
      <w:r w:rsidRPr="009E03C1">
        <w:rPr>
          <w:bCs/>
          <w:sz w:val="28"/>
          <w:szCs w:val="28"/>
        </w:rPr>
        <w:t xml:space="preserve"> and Yasser Mohamed Abdel Raouf</w:t>
      </w:r>
      <w:r w:rsidRPr="009E03C1">
        <w:rPr>
          <w:bCs/>
          <w:sz w:val="28"/>
          <w:szCs w:val="28"/>
          <w:vertAlign w:val="superscript"/>
        </w:rPr>
        <w:t>3</w:t>
      </w:r>
    </w:p>
    <w:p w:rsidR="0028059F" w:rsidRPr="00D44E13" w:rsidRDefault="0028059F" w:rsidP="00DF04E3">
      <w:pPr>
        <w:pStyle w:val="HTMLPreformatted"/>
        <w:rPr>
          <w:rFonts w:ascii="Times New Roman" w:hAnsi="Times New Roman" w:cs="Times New Roman"/>
          <w:i/>
          <w:iCs/>
          <w:sz w:val="24"/>
          <w:vertAlign w:val="superscript"/>
          <w:lang w:val="en-IN"/>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D44E13" w:rsidRPr="00D44E13">
        <w:rPr>
          <w:rFonts w:ascii="Times New Roman" w:hAnsi="Times New Roman" w:cs="Times New Roman"/>
          <w:i/>
          <w:iCs/>
          <w:sz w:val="24"/>
        </w:rPr>
        <w:t>Clinical Pathology Department,</w:t>
      </w:r>
      <w:r w:rsidR="00D44E13">
        <w:rPr>
          <w:rFonts w:ascii="Times New Roman" w:hAnsi="Times New Roman" w:cs="Times New Roman"/>
          <w:i/>
          <w:iCs/>
          <w:sz w:val="24"/>
        </w:rPr>
        <w:t xml:space="preserve"> Alexandria University Hospitals (Alexandria University, Egypt)</w:t>
      </w:r>
    </w:p>
    <w:p w:rsidR="00DF04E3" w:rsidRPr="00435234" w:rsidRDefault="00DF04E3" w:rsidP="00D44E1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D44E13" w:rsidRPr="00D44E13">
        <w:rPr>
          <w:rFonts w:ascii="Times New Roman" w:hAnsi="Times New Roman" w:cs="Times New Roman"/>
          <w:i/>
          <w:iCs/>
          <w:sz w:val="24"/>
        </w:rPr>
        <w:t xml:space="preserve"> </w:t>
      </w:r>
      <w:r w:rsidR="00D44E13" w:rsidRPr="00D44E13">
        <w:rPr>
          <w:rFonts w:ascii="Times New Roman" w:hAnsi="Times New Roman" w:cs="Times New Roman"/>
          <w:i/>
          <w:iCs/>
          <w:sz w:val="24"/>
        </w:rPr>
        <w:t>Clinical Pathology Department,</w:t>
      </w:r>
      <w:r w:rsidR="00D44E13">
        <w:rPr>
          <w:rFonts w:ascii="Times New Roman" w:hAnsi="Times New Roman" w:cs="Times New Roman"/>
          <w:i/>
          <w:iCs/>
          <w:sz w:val="24"/>
        </w:rPr>
        <w:t xml:space="preserve"> Faculty of Medicine</w:t>
      </w:r>
      <w:r w:rsidR="00D44E13">
        <w:rPr>
          <w:rFonts w:ascii="Times New Roman" w:hAnsi="Times New Roman" w:cs="Times New Roman"/>
          <w:i/>
          <w:iCs/>
          <w:sz w:val="24"/>
        </w:rPr>
        <w:t xml:space="preserve"> </w:t>
      </w:r>
      <w:r w:rsidR="00D44E13">
        <w:rPr>
          <w:rFonts w:ascii="Times New Roman" w:hAnsi="Times New Roman" w:cs="Times New Roman"/>
          <w:i/>
          <w:iCs/>
          <w:sz w:val="24"/>
        </w:rPr>
        <w:t xml:space="preserve">(Tanta </w:t>
      </w:r>
      <w:r w:rsidR="00D44E13">
        <w:rPr>
          <w:rFonts w:ascii="Times New Roman" w:hAnsi="Times New Roman" w:cs="Times New Roman"/>
          <w:i/>
          <w:iCs/>
          <w:sz w:val="24"/>
        </w:rPr>
        <w:t>University</w:t>
      </w:r>
      <w:r w:rsidR="00D44E13">
        <w:rPr>
          <w:rFonts w:ascii="Times New Roman" w:hAnsi="Times New Roman" w:cs="Times New Roman"/>
          <w:i/>
          <w:iCs/>
          <w:sz w:val="24"/>
        </w:rPr>
        <w:t>, Egypt)</w:t>
      </w:r>
      <w:r w:rsidR="00D44E13">
        <w:rPr>
          <w:rFonts w:ascii="Times New Roman" w:hAnsi="Times New Roman" w:cs="Times New Roman"/>
          <w:i/>
          <w:iCs/>
          <w:sz w:val="24"/>
        </w:rPr>
        <w:t xml:space="preserve"> </w:t>
      </w:r>
    </w:p>
    <w:p w:rsidR="00DF04E3" w:rsidRDefault="0028059F" w:rsidP="00D44E13">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D44E13">
        <w:rPr>
          <w:rFonts w:ascii="Times New Roman" w:hAnsi="Times New Roman" w:cs="Times New Roman"/>
          <w:i/>
          <w:iCs/>
          <w:sz w:val="24"/>
        </w:rPr>
        <w:t xml:space="preserve"> Internal Medicine </w:t>
      </w:r>
      <w:r w:rsidR="00D44E13" w:rsidRPr="00D44E13">
        <w:rPr>
          <w:rFonts w:ascii="Times New Roman" w:hAnsi="Times New Roman" w:cs="Times New Roman"/>
          <w:i/>
          <w:iCs/>
          <w:sz w:val="24"/>
        </w:rPr>
        <w:t>Department,</w:t>
      </w:r>
      <w:r w:rsidR="00D44E13">
        <w:rPr>
          <w:rFonts w:ascii="Times New Roman" w:hAnsi="Times New Roman" w:cs="Times New Roman"/>
          <w:i/>
          <w:iCs/>
          <w:sz w:val="24"/>
        </w:rPr>
        <w:t xml:space="preserve"> Faculty of Medicine (Tanta University, Egypt)</w:t>
      </w:r>
    </w:p>
    <w:p w:rsidR="00D44E13" w:rsidRDefault="00D44E13" w:rsidP="00D44E13">
      <w:pPr>
        <w:pStyle w:val="HTMLPreformatted"/>
        <w:rPr>
          <w:rFonts w:ascii="Times New Roman" w:hAnsi="Times New Roman" w:cs="Times New Roman"/>
          <w:i/>
          <w:iCs/>
          <w:sz w:val="24"/>
        </w:rPr>
      </w:pPr>
    </w:p>
    <w:p w:rsidR="00DF04E3" w:rsidRDefault="00DF04E3" w:rsidP="00BE5E77">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BE5E77" w:rsidRDefault="00BE5E77" w:rsidP="00BE5E77">
      <w:pPr>
        <w:pStyle w:val="HTMLPreformatted"/>
        <w:tabs>
          <w:tab w:val="left" w:pos="4374"/>
        </w:tabs>
        <w:jc w:val="both"/>
        <w:rPr>
          <w:rFonts w:ascii="Times New Roman" w:hAnsi="Times New Roman" w:cs="Times New Roman"/>
          <w:sz w:val="24"/>
        </w:rPr>
      </w:pPr>
    </w:p>
    <w:p w:rsidR="00D44E13" w:rsidRPr="00716470" w:rsidRDefault="00D44E13" w:rsidP="00D44E13">
      <w:pPr>
        <w:rPr>
          <w:rFonts w:eastAsia="Batang"/>
        </w:rPr>
      </w:pPr>
      <w:r w:rsidRPr="00716470">
        <w:rPr>
          <w:rFonts w:eastAsia="Batang"/>
          <w:b/>
          <w:bCs/>
        </w:rPr>
        <w:t>Background:</w:t>
      </w:r>
      <w:r w:rsidRPr="00716470">
        <w:rPr>
          <w:rFonts w:eastAsia="Batang"/>
        </w:rPr>
        <w:t xml:space="preserve"> Type 2 diabetes T2DM is a common disease with increased mortality and morbidity due to vascular complications. Carotid Intimal-Medial Thickness (CIMT) is being used as a marker to assess subclinical atherosclerosis.</w:t>
      </w:r>
      <w:r w:rsidR="00BE5E77">
        <w:rPr>
          <w:rFonts w:eastAsia="Batang"/>
        </w:rPr>
        <w:t xml:space="preserve"> </w:t>
      </w:r>
      <w:r w:rsidRPr="00716470">
        <w:rPr>
          <w:rFonts w:eastAsia="Batang"/>
        </w:rPr>
        <w:t>MicroRNA (miR-146a) is a new discovered</w:t>
      </w:r>
      <w:r w:rsidR="00BE5E77">
        <w:rPr>
          <w:rFonts w:eastAsia="Batang"/>
        </w:rPr>
        <w:t xml:space="preserve"> </w:t>
      </w:r>
      <w:r w:rsidRPr="00716470">
        <w:rPr>
          <w:rFonts w:eastAsia="Batang"/>
        </w:rPr>
        <w:t>biomarker that regulates endothelial cell function and vascular inflammation, together with Chitotriosidase (CHIT1)</w:t>
      </w:r>
      <w:r w:rsidR="00BE5E77">
        <w:rPr>
          <w:rFonts w:eastAsia="Batang"/>
        </w:rPr>
        <w:t xml:space="preserve"> </w:t>
      </w:r>
      <w:r w:rsidRPr="00716470">
        <w:rPr>
          <w:rFonts w:eastAsia="Batang"/>
        </w:rPr>
        <w:t xml:space="preserve">enzyme being involved mainly in the immune and inflammatory responses. This study aimed to investigate an assumed association between CHIT1 activity and miR-146a gene expression in type 2 diabetes patients for detection of endothelial dysfunction and subclinical atherosclerosis, in association with CIMT. </w:t>
      </w:r>
    </w:p>
    <w:p w:rsidR="00D44E13" w:rsidRPr="00716470" w:rsidRDefault="00D44E13" w:rsidP="00D44E13">
      <w:pPr>
        <w:rPr>
          <w:rFonts w:eastAsia="Batang"/>
        </w:rPr>
      </w:pPr>
      <w:r w:rsidRPr="00716470">
        <w:rPr>
          <w:rFonts w:eastAsia="Batang"/>
          <w:b/>
          <w:bCs/>
        </w:rPr>
        <w:t>Material and Methods:</w:t>
      </w:r>
      <w:r w:rsidRPr="00716470">
        <w:rPr>
          <w:rFonts w:eastAsia="Batang"/>
        </w:rPr>
        <w:t xml:space="preserve"> 30 control subjects (group I) and 100 patients diagnosed as T2DM</w:t>
      </w:r>
      <w:r>
        <w:rPr>
          <w:rFonts w:eastAsia="Batang"/>
        </w:rPr>
        <w:t xml:space="preserve"> </w:t>
      </w:r>
      <w:r w:rsidRPr="00716470">
        <w:rPr>
          <w:rFonts w:eastAsia="Batang"/>
        </w:rPr>
        <w:t>classified according to CIMT results; group II (38 patient) with CIMT value less than 0.7mm and group III (62</w:t>
      </w:r>
      <w:r>
        <w:rPr>
          <w:rFonts w:eastAsia="Batang"/>
        </w:rPr>
        <w:t xml:space="preserve"> </w:t>
      </w:r>
      <w:r w:rsidRPr="00716470">
        <w:rPr>
          <w:rFonts w:eastAsia="Batang"/>
        </w:rPr>
        <w:t>patients) with CIMT value more than 0.7mm. Plasma CHIT1 activity was measured fluorometrically</w:t>
      </w:r>
      <w:r w:rsidR="00BE5E77">
        <w:rPr>
          <w:rFonts w:eastAsia="Batang"/>
        </w:rPr>
        <w:t xml:space="preserve"> </w:t>
      </w:r>
      <w:r w:rsidRPr="00716470">
        <w:rPr>
          <w:rFonts w:eastAsia="Batang"/>
        </w:rPr>
        <w:t xml:space="preserve">and quantitative Real Time PCR (qPCR) for </w:t>
      </w:r>
      <w:r w:rsidR="00BE5E77">
        <w:rPr>
          <w:rFonts w:eastAsia="Batang"/>
        </w:rPr>
        <w:t xml:space="preserve">plasma </w:t>
      </w:r>
      <w:r w:rsidRPr="00716470">
        <w:rPr>
          <w:rFonts w:eastAsia="Batang"/>
        </w:rPr>
        <w:t>miR-146a</w:t>
      </w:r>
      <w:r w:rsidR="00BE5E77">
        <w:rPr>
          <w:rFonts w:eastAsia="Batang"/>
        </w:rPr>
        <w:t xml:space="preserve"> determination</w:t>
      </w:r>
      <w:r w:rsidRPr="00716470">
        <w:rPr>
          <w:rFonts w:eastAsia="Batang"/>
        </w:rPr>
        <w:t xml:space="preserve">. Routine laboratory parameters such as </w:t>
      </w:r>
      <w:r w:rsidR="00BE5E77">
        <w:rPr>
          <w:rFonts w:eastAsia="Batang"/>
        </w:rPr>
        <w:t>fasting</w:t>
      </w:r>
      <w:r w:rsidRPr="00716470">
        <w:rPr>
          <w:rFonts w:eastAsia="Batang"/>
        </w:rPr>
        <w:t xml:space="preserve"> glucose, lipid profile, glycated </w:t>
      </w:r>
      <w:proofErr w:type="spellStart"/>
      <w:r w:rsidRPr="00716470">
        <w:rPr>
          <w:rFonts w:eastAsia="Batang"/>
        </w:rPr>
        <w:t>hemoglobin</w:t>
      </w:r>
      <w:proofErr w:type="spellEnd"/>
      <w:r w:rsidRPr="00716470">
        <w:rPr>
          <w:rFonts w:eastAsia="Batang"/>
        </w:rPr>
        <w:t xml:space="preserve"> were also measured. </w:t>
      </w:r>
    </w:p>
    <w:p w:rsidR="00D44E13" w:rsidRPr="00716470" w:rsidRDefault="00D44E13" w:rsidP="00D44E13">
      <w:pPr>
        <w:rPr>
          <w:rFonts w:eastAsia="Batang"/>
        </w:rPr>
      </w:pPr>
      <w:r w:rsidRPr="00716470">
        <w:rPr>
          <w:rFonts w:eastAsia="Batang"/>
          <w:b/>
          <w:bCs/>
        </w:rPr>
        <w:t>Results:</w:t>
      </w:r>
      <w:r w:rsidRPr="00716470">
        <w:rPr>
          <w:rFonts w:eastAsia="Batang"/>
        </w:rPr>
        <w:t xml:space="preserve"> revealed</w:t>
      </w:r>
      <w:r w:rsidR="00BE5E77">
        <w:rPr>
          <w:rFonts w:eastAsia="Batang"/>
        </w:rPr>
        <w:t xml:space="preserve"> </w:t>
      </w:r>
      <w:r w:rsidRPr="00716470">
        <w:rPr>
          <w:rFonts w:eastAsia="Batang"/>
        </w:rPr>
        <w:t>CHIT1</w:t>
      </w:r>
      <w:r w:rsidR="00BE5E77">
        <w:rPr>
          <w:rFonts w:eastAsia="Batang"/>
        </w:rPr>
        <w:t xml:space="preserve"> </w:t>
      </w:r>
      <w:r w:rsidRPr="00716470">
        <w:rPr>
          <w:rFonts w:eastAsia="Batang"/>
        </w:rPr>
        <w:t>activity was significant high</w:t>
      </w:r>
      <w:r w:rsidR="00BE5E77">
        <w:rPr>
          <w:rFonts w:eastAsia="Batang"/>
        </w:rPr>
        <w:t xml:space="preserve"> </w:t>
      </w:r>
      <w:r w:rsidRPr="00716470">
        <w:rPr>
          <w:rFonts w:eastAsia="Batang"/>
        </w:rPr>
        <w:t>(p &lt; 0.001) in group II and III diabetic patients compared to group I, also it was</w:t>
      </w:r>
      <w:r w:rsidR="00BE5E77">
        <w:rPr>
          <w:rFonts w:eastAsia="Batang"/>
        </w:rPr>
        <w:t xml:space="preserve"> </w:t>
      </w:r>
      <w:r w:rsidRPr="00716470">
        <w:rPr>
          <w:rFonts w:eastAsia="Batang"/>
        </w:rPr>
        <w:t xml:space="preserve">positively correlated with CIMT and other </w:t>
      </w:r>
      <w:r w:rsidR="00BE5E77">
        <w:rPr>
          <w:rFonts w:eastAsia="Batang"/>
        </w:rPr>
        <w:t xml:space="preserve">measured </w:t>
      </w:r>
      <w:r w:rsidRPr="00716470">
        <w:rPr>
          <w:rFonts w:eastAsia="Batang"/>
        </w:rPr>
        <w:t xml:space="preserve">parameters as </w:t>
      </w:r>
      <w:proofErr w:type="spellStart"/>
      <w:r w:rsidRPr="00716470">
        <w:rPr>
          <w:rFonts w:eastAsia="Batang"/>
        </w:rPr>
        <w:t>glycemic</w:t>
      </w:r>
      <w:proofErr w:type="spellEnd"/>
      <w:r w:rsidRPr="00716470">
        <w:rPr>
          <w:rFonts w:eastAsia="Batang"/>
        </w:rPr>
        <w:t xml:space="preserve"> control, lipid profile,</w:t>
      </w:r>
      <w:r w:rsidR="00BE5E77">
        <w:rPr>
          <w:rFonts w:eastAsia="Batang"/>
        </w:rPr>
        <w:t xml:space="preserve"> as well as</w:t>
      </w:r>
      <w:r w:rsidRPr="00716470">
        <w:rPr>
          <w:rFonts w:eastAsia="Batang"/>
        </w:rPr>
        <w:t xml:space="preserve"> duration of disease and blood pressure. On the other hand, plasma miR-146a was significantly reduced (p &lt; 0.001) in group III and was negatively correlated with CIMT and other parameters. </w:t>
      </w:r>
    </w:p>
    <w:p w:rsidR="00D44E13" w:rsidRPr="00716470" w:rsidRDefault="00D44E13" w:rsidP="00D44E13">
      <w:pPr>
        <w:rPr>
          <w:rFonts w:eastAsia="Batang"/>
        </w:rPr>
      </w:pPr>
      <w:r w:rsidRPr="00716470">
        <w:rPr>
          <w:rFonts w:eastAsia="Batang"/>
          <w:b/>
          <w:bCs/>
        </w:rPr>
        <w:t>Conclusion:</w:t>
      </w:r>
      <w:r w:rsidRPr="00716470">
        <w:rPr>
          <w:rFonts w:eastAsia="Batang"/>
        </w:rPr>
        <w:t xml:space="preserve"> Increased</w:t>
      </w:r>
      <w:r w:rsidR="00BE5E77">
        <w:rPr>
          <w:rFonts w:eastAsia="Batang"/>
        </w:rPr>
        <w:t xml:space="preserve"> </w:t>
      </w:r>
      <w:r w:rsidRPr="00716470">
        <w:rPr>
          <w:rFonts w:eastAsia="Batang"/>
        </w:rPr>
        <w:t>CHIT1activity may be due to the associated changes in the relative gene expression of miRNA 146a in patients with increased CIMT above 1mm. Moreover, evaluation of microRNA 146a gene expression can be used as useful biomarker for detection of endothelial dysfunction and development of atherosclerosis in T2DM.</w:t>
      </w:r>
    </w:p>
    <w:p w:rsidR="002350BC" w:rsidRPr="00D44E13" w:rsidRDefault="002350BC" w:rsidP="00DF04E3">
      <w:pPr>
        <w:pStyle w:val="HTMLPreformatted"/>
        <w:jc w:val="both"/>
        <w:rPr>
          <w:rFonts w:ascii="Times New Roman" w:hAnsi="Times New Roman" w:cs="Times New Roman"/>
          <w:sz w:val="24"/>
          <w:lang w:val="en-IN"/>
        </w:rPr>
      </w:pPr>
    </w:p>
    <w:p w:rsidR="00DF04E3" w:rsidRDefault="0028059F" w:rsidP="00BE5E77">
      <w:pPr>
        <w:pStyle w:val="HTMLPreformatted"/>
        <w:jc w:val="both"/>
        <w:rPr>
          <w:rFonts w:ascii="Times New Roman" w:hAnsi="Times New Roman" w:cs="Times New Roman"/>
          <w:sz w:val="24"/>
        </w:rPr>
      </w:pPr>
      <w:r w:rsidRPr="0028059F">
        <w:rPr>
          <w:rFonts w:ascii="Times New Roman" w:hAnsi="Times New Roman" w:cs="Times New Roman"/>
          <w:sz w:val="24"/>
        </w:rPr>
        <w:lastRenderedPageBreak/>
        <w:t>Keywords—</w:t>
      </w:r>
      <w:r w:rsidR="00BE5E77" w:rsidRPr="00BE5E77">
        <w:t xml:space="preserve"> </w:t>
      </w:r>
      <w:r w:rsidR="00BE5E77" w:rsidRPr="00BE5E77">
        <w:rPr>
          <w:rFonts w:ascii="Times New Roman" w:hAnsi="Times New Roman" w:cs="Times New Roman"/>
          <w:sz w:val="24"/>
        </w:rPr>
        <w:t>atherosclerosis; Chitotriosidase; MicroRNAs; Carotid Intimal-Medial Thickness.</w:t>
      </w:r>
    </w:p>
    <w:p w:rsidR="00DF04E3" w:rsidRDefault="00DF04E3" w:rsidP="00DF04E3">
      <w:pPr>
        <w:pStyle w:val="HTMLPreformatted"/>
        <w:jc w:val="both"/>
        <w:rPr>
          <w:rFonts w:ascii="Times New Roman" w:hAnsi="Times New Roman" w:cs="Times New Roman"/>
          <w:i/>
          <w:iCs/>
          <w:sz w:val="24"/>
        </w:rPr>
      </w:pPr>
    </w:p>
    <w:p w:rsidR="00BE5E77" w:rsidRDefault="0028059F" w:rsidP="00BE5E77">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BE5E77" w:rsidRPr="003F0AD1" w:rsidRDefault="00BE5E77" w:rsidP="00BE5E77">
      <w:pPr>
        <w:pStyle w:val="ListParagraph"/>
        <w:tabs>
          <w:tab w:val="right" w:pos="43"/>
        </w:tabs>
      </w:pPr>
      <w:proofErr w:type="spellStart"/>
      <w:r w:rsidRPr="00F10843">
        <w:t>Dr</w:t>
      </w:r>
      <w:proofErr w:type="spellEnd"/>
      <w:r w:rsidRPr="00F10843">
        <w:t xml:space="preserve"> Hala Demerdash is currently Associate </w:t>
      </w:r>
      <w:r w:rsidRPr="003F0AD1">
        <w:t xml:space="preserve">Consultant Clinical Pathology-Alexandria University Hospitals, Former Associate Clinical Pathology </w:t>
      </w:r>
      <w:r>
        <w:t>P</w:t>
      </w:r>
      <w:r w:rsidRPr="00F10843">
        <w:t xml:space="preserve">rofessor, </w:t>
      </w:r>
      <w:r>
        <w:t xml:space="preserve">Pharos University in Alexandria, Egypt. </w:t>
      </w:r>
      <w:r w:rsidRPr="00F10843">
        <w:t xml:space="preserve">She graduated from faculty of Medicine </w:t>
      </w:r>
      <w:r w:rsidRPr="003F0AD1">
        <w:t>Alexandria University</w:t>
      </w:r>
      <w:r>
        <w:t xml:space="preserve"> 1990. S</w:t>
      </w:r>
      <w:r w:rsidRPr="00F10843">
        <w:t>he received her master degree from Chemical Pathology Department 1997, Medical Research Institute as she was a resident in the same department1992-1995. Then she received her M.D from Clinical Pathology Department, faculty of Medicine Tanta University 2007</w:t>
      </w:r>
      <w:r>
        <w:t xml:space="preserve">. Received </w:t>
      </w:r>
      <w:r w:rsidRPr="003F0AD1">
        <w:t xml:space="preserve">Diploma in Health Care Quality Management, Arab Academy for Science &amp; technology 2009/2010. Molecular Biology Training Course January 2016, </w:t>
      </w:r>
      <w:r w:rsidRPr="00F10843">
        <w:t>Faculty of Medicine of the University of Porto- Portugal.</w:t>
      </w:r>
      <w:r>
        <w:t xml:space="preserve"> She is a member of Editorial Board of Obesity Research Open Journal and has published more than 17 papers in reputed journals.</w:t>
      </w:r>
    </w:p>
    <w:p w:rsidR="00BE5E77" w:rsidRPr="003F0AD1" w:rsidRDefault="00BE5E77" w:rsidP="00BE5E77">
      <w:pPr>
        <w:pStyle w:val="ListParagraph"/>
        <w:tabs>
          <w:tab w:val="right" w:pos="43"/>
        </w:tabs>
      </w:pPr>
    </w:p>
    <w:p w:rsidR="00BE5E77" w:rsidRPr="00BE5E77" w:rsidRDefault="00BE5E77" w:rsidP="00DF04E3">
      <w:pPr>
        <w:pStyle w:val="HTMLPreformatted"/>
        <w:jc w:val="both"/>
        <w:rPr>
          <w:rFonts w:ascii="Times New Roman" w:hAnsi="Times New Roman" w:cs="Times New Roman"/>
          <w:b/>
          <w:iCs/>
          <w:sz w:val="24"/>
          <w:lang w:val="en-US"/>
        </w:rPr>
      </w:pPr>
    </w:p>
    <w:p w:rsidR="00DF04E3" w:rsidRDefault="00DF04E3" w:rsidP="00DF04E3">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B3082B" w:rsidRDefault="00BE5E77" w:rsidP="00BE5E77">
      <w:pPr>
        <w:pStyle w:val="HTMLPreformatted"/>
        <w:jc w:val="both"/>
        <w:rPr>
          <w:rFonts w:ascii="Times New Roman" w:hAnsi="Times New Roman" w:cs="Times New Roman"/>
          <w:iCs/>
          <w:sz w:val="24"/>
        </w:rPr>
      </w:pPr>
      <w:r w:rsidRPr="00CE7387">
        <w:rPr>
          <w:noProof/>
        </w:rPr>
        <w:drawing>
          <wp:inline distT="0" distB="0" distL="0" distR="0">
            <wp:extent cx="1727200" cy="2012950"/>
            <wp:effectExtent l="0" t="0" r="6350" b="6350"/>
            <wp:docPr id="1" name="Picture 1" descr="C:\Users\TOSHIBA\Desktop\20130719_223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20130719_22311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7200" cy="2012950"/>
                    </a:xfrm>
                    <a:prstGeom prst="rect">
                      <a:avLst/>
                    </a:prstGeom>
                    <a:noFill/>
                    <a:ln>
                      <a:noFill/>
                    </a:ln>
                  </pic:spPr>
                </pic:pic>
              </a:graphicData>
            </a:graphic>
          </wp:inline>
        </w:drawing>
      </w:r>
      <w:r w:rsidR="00B3082B">
        <w:rPr>
          <w:rFonts w:ascii="Times New Roman" w:hAnsi="Times New Roman" w:cs="Times New Roman"/>
          <w:b/>
          <w:iCs/>
          <w:sz w:val="24"/>
        </w:rPr>
        <w:br/>
      </w:r>
      <w:r w:rsidRPr="00BE5E77">
        <w:rPr>
          <w:rFonts w:ascii="Times New Roman" w:hAnsi="Times New Roman" w:cs="Times New Roman"/>
          <w:iCs/>
          <w:sz w:val="24"/>
        </w:rPr>
        <w:t>Hala Demerdash</w:t>
      </w:r>
    </w:p>
    <w:p w:rsidR="00BE5E77" w:rsidRDefault="00BE5E77" w:rsidP="00BE5E77">
      <w:pPr>
        <w:pStyle w:val="HTMLPreformatted"/>
        <w:jc w:val="both"/>
        <w:rPr>
          <w:rFonts w:ascii="Times New Roman" w:hAnsi="Times New Roman" w:cs="Times New Roman"/>
          <w:iCs/>
          <w:sz w:val="24"/>
        </w:rPr>
      </w:pPr>
      <w:r>
        <w:rPr>
          <w:rFonts w:ascii="Times New Roman" w:hAnsi="Times New Roman" w:cs="Times New Roman"/>
          <w:iCs/>
          <w:sz w:val="24"/>
        </w:rPr>
        <w:t>e-mail: demerdashh@yahoo.com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6512F9" w:rsidRPr="00495C76" w:rsidRDefault="006512F9" w:rsidP="002350BC">
      <w:pPr>
        <w:rPr>
          <w:rFonts w:ascii="Times New Roman" w:hAnsi="Times New Roman" w:cs="Times New Roman"/>
          <w:b/>
          <w:sz w:val="24"/>
          <w:szCs w:val="24"/>
        </w:rPr>
      </w:pPr>
      <w:r>
        <w:rPr>
          <w:rFonts w:ascii="Times New Roman" w:hAnsi="Times New Roman" w:cs="Times New Roman"/>
          <w:b/>
          <w:sz w:val="24"/>
          <w:szCs w:val="24"/>
        </w:rPr>
        <w:t>Poster presentation</w:t>
      </w:r>
      <w:bookmarkStart w:id="0" w:name="_GoBack"/>
      <w:bookmarkEnd w:id="0"/>
    </w:p>
    <w:sectPr w:rsidR="006512F9"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4C1E" w:rsidRDefault="00F84C1E" w:rsidP="00495C76">
      <w:pPr>
        <w:spacing w:after="0" w:line="240" w:lineRule="auto"/>
      </w:pPr>
      <w:r>
        <w:separator/>
      </w:r>
    </w:p>
  </w:endnote>
  <w:endnote w:type="continuationSeparator" w:id="0">
    <w:p w:rsidR="00F84C1E" w:rsidRDefault="00F84C1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4C1E" w:rsidRDefault="00F84C1E" w:rsidP="00495C76">
      <w:pPr>
        <w:spacing w:after="0" w:line="240" w:lineRule="auto"/>
      </w:pPr>
      <w:r>
        <w:separator/>
      </w:r>
    </w:p>
  </w:footnote>
  <w:footnote w:type="continuationSeparator" w:id="0">
    <w:p w:rsidR="00F84C1E" w:rsidRDefault="00F84C1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95C76"/>
    <w:rsid w:val="00627419"/>
    <w:rsid w:val="006512F9"/>
    <w:rsid w:val="00A30C93"/>
    <w:rsid w:val="00B3082B"/>
    <w:rsid w:val="00B6703B"/>
    <w:rsid w:val="00BA654F"/>
    <w:rsid w:val="00BE5E77"/>
    <w:rsid w:val="00CE511D"/>
    <w:rsid w:val="00D44E13"/>
    <w:rsid w:val="00DF04E3"/>
    <w:rsid w:val="00E96AD5"/>
    <w:rsid w:val="00EB149E"/>
    <w:rsid w:val="00F84C1E"/>
    <w:rsid w:val="00FD147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22F0C"/>
  <w15:docId w15:val="{42FB03E5-F097-4FCC-89B1-29926B76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BE5E77"/>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Hala Demerdash</cp:lastModifiedBy>
  <cp:revision>3</cp:revision>
  <dcterms:created xsi:type="dcterms:W3CDTF">2017-12-04T18:33:00Z</dcterms:created>
  <dcterms:modified xsi:type="dcterms:W3CDTF">2017-12-04T18:54:00Z</dcterms:modified>
</cp:coreProperties>
</file>