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55" w:rsidRDefault="00BD6A3A" w:rsidP="007D3F55">
      <w:pPr>
        <w:jc w:val="both"/>
        <w:rPr>
          <w:lang w:val="en-GB"/>
        </w:rPr>
      </w:pPr>
      <w:r>
        <w:rPr>
          <w:noProof/>
        </w:rPr>
        <w:drawing>
          <wp:anchor distT="0" distB="0" distL="114300" distR="114300" simplePos="0" relativeHeight="251665408" behindDoc="0" locked="0" layoutInCell="1" allowOverlap="1">
            <wp:simplePos x="0" y="0"/>
            <wp:positionH relativeFrom="column">
              <wp:posOffset>1465580</wp:posOffset>
            </wp:positionH>
            <wp:positionV relativeFrom="paragraph">
              <wp:posOffset>156845</wp:posOffset>
            </wp:positionV>
            <wp:extent cx="1203325" cy="1480820"/>
            <wp:effectExtent l="19050" t="0" r="0" b="0"/>
            <wp:wrapSquare wrapText="bothSides"/>
            <wp:docPr id="2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a:srcRect/>
                    <a:stretch>
                      <a:fillRect/>
                    </a:stretch>
                  </pic:blipFill>
                  <pic:spPr bwMode="auto">
                    <a:xfrm>
                      <a:off x="0" y="0"/>
                      <a:ext cx="1203325" cy="1480820"/>
                    </a:xfrm>
                    <a:prstGeom prst="rect">
                      <a:avLst/>
                    </a:prstGeom>
                    <a:noFill/>
                    <a:ln w="9525">
                      <a:noFill/>
                      <a:miter lim="800000"/>
                      <a:headEnd/>
                      <a:tailEnd/>
                    </a:ln>
                  </pic:spPr>
                </pic:pic>
              </a:graphicData>
            </a:graphic>
          </wp:anchor>
        </w:drawing>
      </w:r>
      <w:r>
        <w:rPr>
          <w:noProof/>
        </w:rPr>
        <w:drawing>
          <wp:anchor distT="0" distB="0" distL="114300" distR="114300" simplePos="0" relativeHeight="251660287" behindDoc="1" locked="0" layoutInCell="1" allowOverlap="1">
            <wp:simplePos x="0" y="0"/>
            <wp:positionH relativeFrom="column">
              <wp:posOffset>4249420</wp:posOffset>
            </wp:positionH>
            <wp:positionV relativeFrom="paragraph">
              <wp:posOffset>-12065</wp:posOffset>
            </wp:positionV>
            <wp:extent cx="1808480" cy="1816735"/>
            <wp:effectExtent l="19050" t="0" r="1270" b="0"/>
            <wp:wrapNone/>
            <wp:docPr id="21" name="Picture 47" descr="Related image">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elated image">
                      <a:hlinkClick r:id="rId8" tgtFrame="&quot;_blank&quot;"/>
                    </pic:cNvPr>
                    <pic:cNvPicPr>
                      <a:picLocks noChangeAspect="1" noChangeArrowheads="1"/>
                    </pic:cNvPicPr>
                  </pic:nvPicPr>
                  <pic:blipFill>
                    <a:blip r:embed="rId9"/>
                    <a:srcRect/>
                    <a:stretch>
                      <a:fillRect/>
                    </a:stretch>
                  </pic:blipFill>
                  <pic:spPr bwMode="auto">
                    <a:xfrm>
                      <a:off x="0" y="0"/>
                      <a:ext cx="1808480" cy="1816735"/>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1" locked="0" layoutInCell="1" allowOverlap="1">
            <wp:simplePos x="0" y="0"/>
            <wp:positionH relativeFrom="column">
              <wp:posOffset>163664</wp:posOffset>
            </wp:positionH>
            <wp:positionV relativeFrom="paragraph">
              <wp:posOffset>166563</wp:posOffset>
            </wp:positionV>
            <wp:extent cx="1210007" cy="1438606"/>
            <wp:effectExtent l="19050" t="19050" r="28243" b="28244"/>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210007" cy="1438606"/>
                    </a:xfrm>
                    <a:prstGeom prst="rect">
                      <a:avLst/>
                    </a:prstGeom>
                    <a:noFill/>
                    <a:ln w="9525">
                      <a:solidFill>
                        <a:schemeClr val="tx1">
                          <a:alpha val="89000"/>
                        </a:schemeClr>
                      </a:solidFill>
                      <a:miter lim="800000"/>
                      <a:headEnd/>
                      <a:tailEnd/>
                    </a:ln>
                  </pic:spPr>
                </pic:pic>
              </a:graphicData>
            </a:graphic>
          </wp:anchor>
        </w:drawing>
      </w:r>
      <w:r w:rsidR="007D3F55">
        <w:rPr>
          <w:lang w:val="en-GB"/>
        </w:rPr>
        <w:t xml:space="preserve">                                                                                                                    </w:t>
      </w:r>
    </w:p>
    <w:p w:rsidR="007D3F55" w:rsidRDefault="007D3F55" w:rsidP="007D3F55">
      <w:pPr>
        <w:rPr>
          <w:rFonts w:eastAsia="MS PGothic"/>
          <w:b/>
          <w:color w:val="000000"/>
          <w:sz w:val="28"/>
          <w:szCs w:val="28"/>
          <w:highlight w:val="yellow"/>
        </w:rPr>
      </w:pPr>
    </w:p>
    <w:p w:rsidR="007D3F55" w:rsidRDefault="007D3F55" w:rsidP="007D3F55">
      <w:pPr>
        <w:rPr>
          <w:rFonts w:eastAsia="MS PGothic"/>
          <w:b/>
          <w:color w:val="000000"/>
          <w:sz w:val="28"/>
          <w:szCs w:val="28"/>
          <w:highlight w:val="yellow"/>
        </w:rPr>
      </w:pPr>
    </w:p>
    <w:p w:rsidR="007D3F55" w:rsidRDefault="007D3F55" w:rsidP="007D3F55">
      <w:pPr>
        <w:rPr>
          <w:rFonts w:eastAsia="MS PGothic"/>
          <w:b/>
          <w:color w:val="000000"/>
          <w:sz w:val="28"/>
          <w:szCs w:val="28"/>
          <w:highlight w:val="yellow"/>
        </w:rPr>
      </w:pPr>
    </w:p>
    <w:p w:rsidR="007D3F55" w:rsidRDefault="007D3F55" w:rsidP="007D3F55">
      <w:pPr>
        <w:rPr>
          <w:rFonts w:eastAsia="MS PGothic"/>
          <w:b/>
          <w:color w:val="000000"/>
          <w:sz w:val="28"/>
          <w:szCs w:val="28"/>
          <w:highlight w:val="yellow"/>
        </w:rPr>
      </w:pPr>
    </w:p>
    <w:p w:rsidR="00BD6A3A" w:rsidRDefault="00BD6A3A" w:rsidP="007D3F55">
      <w:pPr>
        <w:rPr>
          <w:rFonts w:eastAsia="MS PGothic"/>
          <w:b/>
          <w:color w:val="000000"/>
          <w:sz w:val="28"/>
          <w:szCs w:val="28"/>
          <w:highlight w:val="yellow"/>
        </w:rPr>
      </w:pPr>
    </w:p>
    <w:p w:rsidR="007D3F55" w:rsidRPr="008936FB" w:rsidRDefault="008936FB" w:rsidP="001441D5">
      <w:pPr>
        <w:rPr>
          <w:rFonts w:eastAsia="MS PGothic"/>
          <w:b/>
          <w:bCs/>
          <w:color w:val="000000"/>
          <w:sz w:val="32"/>
          <w:szCs w:val="32"/>
        </w:rPr>
      </w:pPr>
      <w:r w:rsidRPr="008936FB">
        <w:rPr>
          <w:b/>
          <w:bCs/>
          <w:sz w:val="32"/>
          <w:szCs w:val="32"/>
        </w:rPr>
        <w:t>P</w:t>
      </w:r>
      <w:r>
        <w:rPr>
          <w:b/>
          <w:bCs/>
          <w:sz w:val="32"/>
          <w:szCs w:val="32"/>
        </w:rPr>
        <w:t>rimary umbilical endometriosis:</w:t>
      </w:r>
      <w:r w:rsidR="001441D5">
        <w:rPr>
          <w:b/>
          <w:bCs/>
          <w:sz w:val="32"/>
          <w:szCs w:val="32"/>
        </w:rPr>
        <w:t xml:space="preserve"> A</w:t>
      </w:r>
      <w:r w:rsidRPr="008936FB">
        <w:rPr>
          <w:b/>
          <w:bCs/>
          <w:sz w:val="32"/>
          <w:szCs w:val="32"/>
        </w:rPr>
        <w:t xml:space="preserve"> case report</w:t>
      </w:r>
    </w:p>
    <w:p w:rsidR="007D3F55" w:rsidRDefault="007D3F55" w:rsidP="00556424">
      <w:pPr>
        <w:rPr>
          <w:rFonts w:eastAsia="MS PGothic" w:hAnsi="Arial"/>
          <w:color w:val="000000"/>
        </w:rPr>
      </w:pPr>
      <w:r>
        <w:rPr>
          <w:rFonts w:eastAsia="MS PGothic" w:hAnsi="Arial"/>
          <w:color w:val="000000"/>
        </w:rPr>
        <w:br/>
      </w:r>
      <w:r>
        <w:rPr>
          <w:b/>
          <w:sz w:val="28"/>
          <w:szCs w:val="28"/>
        </w:rPr>
        <w:t xml:space="preserve"> </w:t>
      </w:r>
      <w:r w:rsidRPr="00CD70A1">
        <w:rPr>
          <w:rFonts w:eastAsia="MS PGothic" w:hAnsi="Arial"/>
          <w:color w:val="000000"/>
          <w:highlight w:val="yellow"/>
        </w:rPr>
        <w:t>Author (s)</w:t>
      </w:r>
      <w:r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556424">
        <w:t>Dr.Tahera Ahmed Fateel, Dr.Hani Ali AlSaati</w:t>
      </w:r>
    </w:p>
    <w:p w:rsidR="007D3F55" w:rsidRDefault="007D3F55" w:rsidP="00556424">
      <w:pPr>
        <w:rPr>
          <w:rFonts w:eastAsia="MS PGothic" w:hAnsi="Arial"/>
          <w:color w:val="000000"/>
        </w:rPr>
      </w:pPr>
      <w:r>
        <w:rPr>
          <w:b/>
          <w:sz w:val="28"/>
          <w:szCs w:val="28"/>
        </w:rPr>
        <w:t xml:space="preserve">                          </w:t>
      </w:r>
      <w:r w:rsidR="00556424">
        <w:rPr>
          <w:rFonts w:eastAsia="MS PGothic" w:hAnsi="Arial"/>
          <w:color w:val="000000"/>
        </w:rPr>
        <w:t>Salmanyia Medical Complex,</w:t>
      </w:r>
      <w:r w:rsidR="00556424" w:rsidRPr="00556424">
        <w:rPr>
          <w:rFonts w:eastAsia="MS PGothic" w:hAnsi="Arial"/>
          <w:color w:val="000000"/>
        </w:rPr>
        <w:t xml:space="preserve"> </w:t>
      </w:r>
      <w:r w:rsidR="00556424">
        <w:rPr>
          <w:rFonts w:eastAsia="MS PGothic" w:hAnsi="Arial"/>
          <w:color w:val="000000"/>
        </w:rPr>
        <w:t xml:space="preserve">Ministry of Health, Kingdom of Bahrain </w:t>
      </w:r>
    </w:p>
    <w:p w:rsidR="007D3F55" w:rsidRDefault="007D3F55" w:rsidP="007D3F55">
      <w:pPr>
        <w:jc w:val="center"/>
        <w:rPr>
          <w:rFonts w:eastAsia="Batang"/>
          <w:color w:val="0000FF"/>
          <w:sz w:val="36"/>
          <w:szCs w:val="36"/>
        </w:rPr>
      </w:pPr>
    </w:p>
    <w:p w:rsidR="00DA4BF2" w:rsidRDefault="00F64B93" w:rsidP="00F64B93">
      <w:pPr>
        <w:jc w:val="both"/>
      </w:pPr>
      <w:r>
        <w:t>Primary umbilical endometriosis is a very  rare phenomenon accounting for 0,4-1,0% of extragenital endometriosis. Mostly presents as Typical cyclic umbilical discharge, pain and palpable mass is coincidental in very less numbers. The diagnosis is often delayed. In some conditions the nodules started to appear and cause symptoms after a laparoscopic surgery</w:t>
      </w:r>
      <w:r w:rsidR="00CA573A">
        <w:t xml:space="preserve"> or any intra abdominal Surgery like our case</w:t>
      </w:r>
      <w:r>
        <w:t>.</w:t>
      </w:r>
    </w:p>
    <w:p w:rsidR="00896952" w:rsidRDefault="00896952" w:rsidP="00C70AFA">
      <w:pPr>
        <w:jc w:val="both"/>
      </w:pPr>
      <w:r>
        <w:t>We encountered a case</w:t>
      </w:r>
      <w:r w:rsidR="00C70AFA">
        <w:t xml:space="preserve"> which</w:t>
      </w:r>
      <w:r>
        <w:t xml:space="preserve"> underwent Laparoscopic cholecystectomy </w:t>
      </w:r>
      <w:r w:rsidR="00C70AFA">
        <w:t xml:space="preserve">for symptomatic gall stones complicated by </w:t>
      </w:r>
      <w:r>
        <w:t>trocher site hernia</w:t>
      </w:r>
      <w:r w:rsidR="00C70AFA">
        <w:t xml:space="preserve"> </w:t>
      </w:r>
      <w:r>
        <w:t>which was</w:t>
      </w:r>
      <w:r w:rsidR="00C70AFA">
        <w:t xml:space="preserve"> repaired</w:t>
      </w:r>
      <w:r>
        <w:t>.</w:t>
      </w:r>
    </w:p>
    <w:p w:rsidR="00896952" w:rsidRDefault="00896952" w:rsidP="00896952">
      <w:pPr>
        <w:jc w:val="both"/>
        <w:rPr>
          <w:color w:val="000000"/>
        </w:rPr>
      </w:pPr>
      <w:r>
        <w:t>one month after the 2nd surgery patient started to complain of cyclic abdominal pain and umbilical nodules with discharge from her umbilicus.</w:t>
      </w:r>
    </w:p>
    <w:p w:rsidR="005941F0" w:rsidRPr="00896952" w:rsidRDefault="00896952" w:rsidP="00896952">
      <w:pPr>
        <w:jc w:val="both"/>
        <w:rPr>
          <w:color w:val="000000"/>
        </w:rPr>
      </w:pPr>
      <w:r>
        <w:rPr>
          <w:noProof/>
          <w:color w:val="000000"/>
        </w:rPr>
        <w:drawing>
          <wp:anchor distT="0" distB="0" distL="114300" distR="114300" simplePos="0" relativeHeight="251666432" behindDoc="0" locked="0" layoutInCell="1" allowOverlap="1">
            <wp:simplePos x="0" y="0"/>
            <wp:positionH relativeFrom="column">
              <wp:posOffset>-125095</wp:posOffset>
            </wp:positionH>
            <wp:positionV relativeFrom="paragraph">
              <wp:posOffset>372110</wp:posOffset>
            </wp:positionV>
            <wp:extent cx="1822450" cy="2425065"/>
            <wp:effectExtent l="19050" t="0" r="635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a:srcRect/>
                    <a:stretch>
                      <a:fillRect/>
                    </a:stretch>
                  </pic:blipFill>
                  <pic:spPr bwMode="auto">
                    <a:xfrm>
                      <a:off x="0" y="0"/>
                      <a:ext cx="1822450" cy="2425065"/>
                    </a:xfrm>
                    <a:prstGeom prst="rect">
                      <a:avLst/>
                    </a:prstGeom>
                    <a:noFill/>
                    <a:ln w="9525">
                      <a:noFill/>
                      <a:miter lim="800000"/>
                      <a:headEnd/>
                      <a:tailEnd/>
                    </a:ln>
                  </pic:spPr>
                </pic:pic>
              </a:graphicData>
            </a:graphic>
          </wp:anchor>
        </w:drawing>
      </w:r>
      <w:r>
        <w:rPr>
          <w:noProof/>
          <w:color w:val="000000"/>
        </w:rPr>
        <w:drawing>
          <wp:anchor distT="0" distB="0" distL="114300" distR="114300" simplePos="0" relativeHeight="251667456" behindDoc="0" locked="0" layoutInCell="1" allowOverlap="1">
            <wp:simplePos x="0" y="0"/>
            <wp:positionH relativeFrom="column">
              <wp:posOffset>2012315</wp:posOffset>
            </wp:positionH>
            <wp:positionV relativeFrom="paragraph">
              <wp:posOffset>361950</wp:posOffset>
            </wp:positionV>
            <wp:extent cx="1829435" cy="2425065"/>
            <wp:effectExtent l="19050" t="0" r="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
                    <a:srcRect/>
                    <a:stretch>
                      <a:fillRect/>
                    </a:stretch>
                  </pic:blipFill>
                  <pic:spPr bwMode="auto">
                    <a:xfrm>
                      <a:off x="0" y="0"/>
                      <a:ext cx="1829435" cy="2425065"/>
                    </a:xfrm>
                    <a:prstGeom prst="rect">
                      <a:avLst/>
                    </a:prstGeom>
                    <a:noFill/>
                    <a:ln w="9525">
                      <a:noFill/>
                      <a:miter lim="800000"/>
                      <a:headEnd/>
                      <a:tailEnd/>
                    </a:ln>
                  </pic:spPr>
                </pic:pic>
              </a:graphicData>
            </a:graphic>
          </wp:anchor>
        </w:drawing>
      </w:r>
      <w:r w:rsidR="00E95FD7">
        <w:rPr>
          <w:noProof/>
          <w:color w:val="000000"/>
        </w:rPr>
        <w:drawing>
          <wp:anchor distT="0" distB="0" distL="114300" distR="114300" simplePos="0" relativeHeight="251668480" behindDoc="0" locked="0" layoutInCell="1" allowOverlap="1">
            <wp:simplePos x="0" y="0"/>
            <wp:positionH relativeFrom="column">
              <wp:posOffset>4267835</wp:posOffset>
            </wp:positionH>
            <wp:positionV relativeFrom="paragraph">
              <wp:posOffset>339725</wp:posOffset>
            </wp:positionV>
            <wp:extent cx="1889125" cy="2425065"/>
            <wp:effectExtent l="19050" t="0" r="0" b="0"/>
            <wp:wrapSquare wrapText="bothSides"/>
            <wp:docPr id="2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a:srcRect/>
                    <a:stretch>
                      <a:fillRect/>
                    </a:stretch>
                  </pic:blipFill>
                  <pic:spPr bwMode="auto">
                    <a:xfrm>
                      <a:off x="0" y="0"/>
                      <a:ext cx="1889125" cy="2425065"/>
                    </a:xfrm>
                    <a:prstGeom prst="rect">
                      <a:avLst/>
                    </a:prstGeom>
                    <a:noFill/>
                    <a:ln w="9525">
                      <a:noFill/>
                      <a:miter lim="800000"/>
                      <a:headEnd/>
                      <a:tailEnd/>
                    </a:ln>
                  </pic:spPr>
                </pic:pic>
              </a:graphicData>
            </a:graphic>
          </wp:anchor>
        </w:drawing>
      </w:r>
      <w:r w:rsidR="00DA4BF2">
        <w:rPr>
          <w:color w:val="000000"/>
          <w:highlight w:val="yellow"/>
        </w:rPr>
        <w:t xml:space="preserve">             </w:t>
      </w:r>
      <w:r w:rsidR="00E95FD7">
        <w:rPr>
          <w:color w:val="000000"/>
          <w:highlight w:val="yellow"/>
        </w:rPr>
        <w:t>P</w:t>
      </w:r>
      <w:r w:rsidR="00DA4BF2">
        <w:rPr>
          <w:color w:val="000000"/>
          <w:highlight w:val="yellow"/>
        </w:rPr>
        <w:t xml:space="preserve">re-operative                     </w:t>
      </w:r>
      <w:r w:rsidR="00E95FD7">
        <w:rPr>
          <w:color w:val="000000"/>
          <w:highlight w:val="yellow"/>
        </w:rPr>
        <w:t xml:space="preserve">                        </w:t>
      </w:r>
      <w:r w:rsidR="00DA4BF2">
        <w:rPr>
          <w:color w:val="000000"/>
          <w:highlight w:val="yellow"/>
        </w:rPr>
        <w:t>Specimen</w:t>
      </w:r>
      <w:r w:rsidR="00E95FD7">
        <w:rPr>
          <w:color w:val="000000"/>
          <w:highlight w:val="yellow"/>
        </w:rPr>
        <w:t xml:space="preserve">                                                    Post Operative</w:t>
      </w:r>
      <w:r w:rsidR="00DA4BF2">
        <w:rPr>
          <w:color w:val="000000"/>
          <w:highlight w:val="yellow"/>
        </w:rPr>
        <w:t xml:space="preserve">    </w:t>
      </w:r>
    </w:p>
    <w:p w:rsidR="007D3F55" w:rsidRDefault="007D3F55" w:rsidP="007D3F55">
      <w:pPr>
        <w:jc w:val="both"/>
        <w:rPr>
          <w:b/>
        </w:rPr>
      </w:pPr>
      <w:r w:rsidRPr="002256E7">
        <w:rPr>
          <w:b/>
          <w:highlight w:val="yellow"/>
        </w:rPr>
        <w:lastRenderedPageBreak/>
        <w:t>Biography</w:t>
      </w:r>
    </w:p>
    <w:p w:rsidR="0089468B" w:rsidRDefault="0089468B" w:rsidP="0089468B">
      <w:pPr>
        <w:jc w:val="both"/>
      </w:pPr>
      <w:r>
        <w:t>1.Dr.Tahera Ahmed Fateel</w:t>
      </w:r>
    </w:p>
    <w:p w:rsidR="00B8740F" w:rsidRDefault="00B8740F" w:rsidP="0089468B">
      <w:pPr>
        <w:jc w:val="both"/>
      </w:pPr>
      <w:r>
        <w:t>MD.MBBCH</w:t>
      </w:r>
    </w:p>
    <w:p w:rsidR="00B8740F" w:rsidRDefault="00B8740F" w:rsidP="0089468B">
      <w:pPr>
        <w:jc w:val="both"/>
      </w:pPr>
      <w:r>
        <w:t xml:space="preserve">Senior Surgical Resident at Salmaniya Medical Complex(SMC),Kingdom of Bahrain </w:t>
      </w:r>
    </w:p>
    <w:p w:rsidR="0089468B" w:rsidRDefault="0089468B" w:rsidP="0089468B">
      <w:pPr>
        <w:jc w:val="both"/>
        <w:rPr>
          <w:rFonts w:ascii="Calibri" w:hAnsi="Calibri" w:cs="Calibri"/>
        </w:rPr>
      </w:pPr>
      <w:r w:rsidRPr="0089468B">
        <w:rPr>
          <w:rFonts w:ascii="Calibri" w:hAnsi="Calibri" w:cs="Calibri"/>
        </w:rPr>
        <w:t>University of Cairo –faculty of medicine</w:t>
      </w:r>
      <w:r>
        <w:rPr>
          <w:rFonts w:ascii="Calibri" w:hAnsi="Calibri" w:cs="Calibri"/>
        </w:rPr>
        <w:t xml:space="preserve"> </w:t>
      </w:r>
      <w:r w:rsidRPr="0089468B">
        <w:rPr>
          <w:rFonts w:ascii="Calibri" w:hAnsi="Calibri" w:cs="Calibri"/>
        </w:rPr>
        <w:t>M.B, B.CH in Dec 2010</w:t>
      </w:r>
    </w:p>
    <w:p w:rsidR="0089468B" w:rsidRDefault="0089468B" w:rsidP="0089468B">
      <w:pPr>
        <w:jc w:val="both"/>
        <w:rPr>
          <w:rFonts w:ascii="Calibri" w:hAnsi="Calibri" w:cs="Calibri"/>
          <w:lang w:val="en-GB"/>
        </w:rPr>
      </w:pPr>
      <w:r w:rsidRPr="0089468B">
        <w:rPr>
          <w:rFonts w:ascii="Calibri" w:hAnsi="Calibri" w:cs="Calibri"/>
          <w:lang w:val="en-GB"/>
        </w:rPr>
        <w:t>Bahrain medical licensure exam</w:t>
      </w:r>
      <w:r>
        <w:rPr>
          <w:rFonts w:ascii="Calibri" w:hAnsi="Calibri" w:cs="Calibri"/>
          <w:lang w:val="en-GB"/>
        </w:rPr>
        <w:t xml:space="preserve"> November 2012</w:t>
      </w:r>
    </w:p>
    <w:p w:rsidR="0089468B" w:rsidRDefault="0089468B" w:rsidP="0089468B">
      <w:pPr>
        <w:jc w:val="both"/>
      </w:pPr>
      <w:r>
        <w:t>Arab board of Surgery Part 1 November 2014</w:t>
      </w:r>
    </w:p>
    <w:p w:rsidR="0089468B" w:rsidRDefault="0089468B" w:rsidP="0089468B">
      <w:pPr>
        <w:jc w:val="both"/>
      </w:pPr>
      <w:r>
        <w:t>2.Dr.Hani Ali AlSaati</w:t>
      </w:r>
    </w:p>
    <w:p w:rsidR="00250BEC" w:rsidRDefault="00250BEC" w:rsidP="0089468B">
      <w:pPr>
        <w:jc w:val="both"/>
      </w:pPr>
      <w:r>
        <w:t>MD,MRCS,CABS,AFRCIS,IMGSS-HPB,SurgOnc.</w:t>
      </w:r>
    </w:p>
    <w:p w:rsidR="00250BEC" w:rsidRDefault="00250BEC" w:rsidP="0089468B">
      <w:pPr>
        <w:jc w:val="both"/>
      </w:pPr>
      <w:r>
        <w:t>Consultant Surgical Oncology and laparoscopic HPB surgery at Salmaniya Medical Complex(SMC),Kingdom of Bahrain</w:t>
      </w:r>
    </w:p>
    <w:p w:rsidR="00250BEC" w:rsidRDefault="00250BEC" w:rsidP="0089468B">
      <w:pPr>
        <w:jc w:val="both"/>
      </w:pPr>
      <w:r>
        <w:t>Consultant Laparoscopic Upper GI and HBP surgery at KIng Hamad University Hospital(KHUH),Kingdom of Bahrain.</w:t>
      </w:r>
    </w:p>
    <w:p w:rsidR="00896952" w:rsidRDefault="00030899" w:rsidP="00896952">
      <w:pPr>
        <w:jc w:val="both"/>
      </w:pPr>
      <w:r>
        <w:t>M</w:t>
      </w:r>
      <w:r w:rsidR="00250BEC">
        <w:t>edical degree from Jessenius Faculty of Medicine-Comenius University in Bratislava on June 23rd,1999.</w:t>
      </w:r>
    </w:p>
    <w:p w:rsidR="00030899" w:rsidRDefault="00250BEC" w:rsidP="00030899">
      <w:pPr>
        <w:jc w:val="both"/>
      </w:pPr>
      <w:r>
        <w:t>Surgical Oncology Fellowship program at University of Toronto</w:t>
      </w:r>
      <w:r w:rsidR="00030899">
        <w:t xml:space="preserve"> </w:t>
      </w:r>
      <w:r>
        <w:t>February 2011.</w:t>
      </w:r>
    </w:p>
    <w:p w:rsidR="00250BEC" w:rsidRDefault="00250BEC" w:rsidP="00030899">
      <w:pPr>
        <w:jc w:val="both"/>
      </w:pPr>
      <w:r>
        <w:t xml:space="preserve"> Laparoscopic HPB Fellowship from Southhampton </w:t>
      </w:r>
      <w:r w:rsidR="00B8740F">
        <w:t>University</w:t>
      </w:r>
      <w:r>
        <w:t xml:space="preserve"> Hospitals,NHS trust in November 2013</w:t>
      </w:r>
      <w:r w:rsidR="00B8740F">
        <w:t>.</w:t>
      </w:r>
    </w:p>
    <w:p w:rsidR="00B8740F" w:rsidRDefault="00030899" w:rsidP="00B8740F">
      <w:pPr>
        <w:jc w:val="both"/>
      </w:pPr>
      <w:r>
        <w:t>P</w:t>
      </w:r>
      <w:r w:rsidR="00B8740F">
        <w:t>ublished many papers in reputed Journals.</w:t>
      </w:r>
    </w:p>
    <w:p w:rsidR="007D3F55" w:rsidRPr="00A41107" w:rsidRDefault="007D3F55" w:rsidP="007D3F55">
      <w:pPr>
        <w:jc w:val="both"/>
        <w:rPr>
          <w:rFonts w:eastAsia="MS PGothic"/>
          <w:b/>
          <w:color w:val="000000"/>
          <w:szCs w:val="32"/>
        </w:rPr>
      </w:pPr>
      <w:r>
        <w:br/>
      </w:r>
    </w:p>
    <w:p w:rsidR="007D3F55" w:rsidRDefault="007D3F55" w:rsidP="007D3F55">
      <w:pPr>
        <w:autoSpaceDE w:val="0"/>
        <w:autoSpaceDN w:val="0"/>
        <w:adjustRightInd w:val="0"/>
        <w:rPr>
          <w:lang w:val="en-NZ"/>
        </w:rPr>
      </w:pPr>
      <w:r w:rsidRPr="002256E7">
        <w:rPr>
          <w:b/>
          <w:highlight w:val="yellow"/>
          <w:lang w:val="en-NZ"/>
        </w:rPr>
        <w:t>Presenting author details</w:t>
      </w:r>
      <w:r w:rsidRPr="008A690F">
        <w:rPr>
          <w:b/>
          <w:lang w:val="en-NZ"/>
        </w:rPr>
        <w:t xml:space="preserve"> </w:t>
      </w:r>
      <w:r w:rsidRPr="008A690F">
        <w:rPr>
          <w:b/>
          <w:lang w:val="en-NZ"/>
        </w:rPr>
        <w:br/>
      </w:r>
      <w:r w:rsidRPr="008A690F">
        <w:rPr>
          <w:lang w:val="en-NZ"/>
        </w:rPr>
        <w:t xml:space="preserve">Full name: </w:t>
      </w:r>
      <w:r w:rsidR="00DD5909">
        <w:rPr>
          <w:lang w:val="en-NZ"/>
        </w:rPr>
        <w:t>Dr.Tahera Ahmed Taher Fateel</w:t>
      </w:r>
      <w:r w:rsidRPr="008A690F">
        <w:rPr>
          <w:lang w:val="en-NZ"/>
        </w:rPr>
        <w:br/>
        <w:t>Contact number:</w:t>
      </w:r>
      <w:r w:rsidR="00DD5909">
        <w:rPr>
          <w:lang w:val="en-NZ"/>
        </w:rPr>
        <w:t xml:space="preserve"> 0097339924163</w:t>
      </w:r>
    </w:p>
    <w:p w:rsidR="007D3F55" w:rsidRDefault="007D3F55" w:rsidP="007D3F55">
      <w:pPr>
        <w:autoSpaceDE w:val="0"/>
        <w:autoSpaceDN w:val="0"/>
        <w:adjustRightInd w:val="0"/>
        <w:rPr>
          <w:lang w:val="en-NZ"/>
        </w:rPr>
      </w:pPr>
      <w:r>
        <w:rPr>
          <w:lang w:val="en-NZ"/>
        </w:rPr>
        <w:t>Email id:</w:t>
      </w:r>
      <w:r w:rsidR="00DD5909">
        <w:rPr>
          <w:lang w:val="en-NZ"/>
        </w:rPr>
        <w:t xml:space="preserve"> dr.tahera86@gmail.com</w:t>
      </w:r>
      <w:r w:rsidRPr="008A690F">
        <w:rPr>
          <w:lang w:val="en-NZ"/>
        </w:rPr>
        <w:br/>
        <w:t>Category: (Oral presentation/ Poster presentation)</w:t>
      </w:r>
    </w:p>
    <w:p w:rsidR="007D3F55" w:rsidRDefault="007D3F55" w:rsidP="007D3F55">
      <w:pPr>
        <w:autoSpaceDE w:val="0"/>
        <w:autoSpaceDN w:val="0"/>
        <w:adjustRightInd w:val="0"/>
        <w:rPr>
          <w:lang w:val="en-NZ"/>
        </w:rPr>
      </w:pPr>
      <w:r w:rsidRPr="008A690F">
        <w:rPr>
          <w:lang w:val="en-NZ"/>
        </w:rPr>
        <w:t>Session name:</w:t>
      </w:r>
      <w:r w:rsidR="00F64B93">
        <w:rPr>
          <w:lang w:val="en-NZ"/>
        </w:rPr>
        <w:t xml:space="preserve"> EuroSSicon-</w:t>
      </w:r>
      <w:r w:rsidR="00CA7E0E">
        <w:rPr>
          <w:lang w:val="en-NZ"/>
        </w:rPr>
        <w:t>Barcelona- May 2019</w:t>
      </w:r>
    </w:p>
    <w:p w:rsidR="002C2D84" w:rsidRPr="00DD5909" w:rsidRDefault="007D3F55" w:rsidP="00DD5909">
      <w:pPr>
        <w:autoSpaceDE w:val="0"/>
        <w:autoSpaceDN w:val="0"/>
        <w:adjustRightInd w:val="0"/>
        <w:rPr>
          <w:b/>
          <w:lang w:val="en-NZ"/>
        </w:rPr>
      </w:pPr>
      <w:r>
        <w:rPr>
          <w:lang w:val="en-NZ"/>
        </w:rPr>
        <w:t xml:space="preserve">Research interest: </w:t>
      </w:r>
      <w:r w:rsidR="00CA7E0E">
        <w:rPr>
          <w:lang w:val="en-NZ"/>
        </w:rPr>
        <w:t>Case Reports and clinical trials - Primary Umbilical Endometriosis</w:t>
      </w:r>
      <w:r>
        <w:rPr>
          <w:lang w:val="en-NZ"/>
        </w:rPr>
        <w:br/>
      </w:r>
    </w:p>
    <w:sectPr w:rsidR="002C2D84" w:rsidRPr="00DD5909" w:rsidSect="006D47FD">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95F" w:rsidRDefault="0055595F" w:rsidP="001051ED">
      <w:pPr>
        <w:spacing w:after="0" w:line="240" w:lineRule="auto"/>
      </w:pPr>
      <w:r>
        <w:separator/>
      </w:r>
    </w:p>
  </w:endnote>
  <w:endnote w:type="continuationSeparator" w:id="1">
    <w:p w:rsidR="0055595F" w:rsidRDefault="0055595F" w:rsidP="001051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Gautam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24" w:rsidRDefault="0055595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24" w:rsidRDefault="005559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24" w:rsidRDefault="005559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95F" w:rsidRDefault="0055595F" w:rsidP="001051ED">
      <w:pPr>
        <w:spacing w:after="0" w:line="240" w:lineRule="auto"/>
      </w:pPr>
      <w:r>
        <w:separator/>
      </w:r>
    </w:p>
  </w:footnote>
  <w:footnote w:type="continuationSeparator" w:id="1">
    <w:p w:rsidR="0055595F" w:rsidRDefault="0055595F" w:rsidP="001051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24" w:rsidRDefault="005559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Pr="00866A24" w:rsidRDefault="003B7036" w:rsidP="00866A24">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3pt;height:62.6pt">
          <v:imagedata r:id="rId1" o:title="Case Reports 2018 NEW"/>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24" w:rsidRDefault="005559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F0787"/>
    <w:multiLevelType w:val="hybridMultilevel"/>
    <w:tmpl w:val="FFEA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1A5F3A"/>
    <w:multiLevelType w:val="hybridMultilevel"/>
    <w:tmpl w:val="8CB698F8"/>
    <w:lvl w:ilvl="0" w:tplc="7B803E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7170"/>
  </w:hdrShapeDefaults>
  <w:footnotePr>
    <w:footnote w:id="0"/>
    <w:footnote w:id="1"/>
  </w:footnotePr>
  <w:endnotePr>
    <w:endnote w:id="0"/>
    <w:endnote w:id="1"/>
  </w:endnotePr>
  <w:compat>
    <w:useFELayout/>
  </w:compat>
  <w:rsids>
    <w:rsidRoot w:val="007D3F55"/>
    <w:rsid w:val="00030899"/>
    <w:rsid w:val="001051ED"/>
    <w:rsid w:val="001441D5"/>
    <w:rsid w:val="00177566"/>
    <w:rsid w:val="00250BEC"/>
    <w:rsid w:val="002C2D84"/>
    <w:rsid w:val="003B7036"/>
    <w:rsid w:val="00457780"/>
    <w:rsid w:val="004B74CD"/>
    <w:rsid w:val="0055595F"/>
    <w:rsid w:val="00556424"/>
    <w:rsid w:val="005941F0"/>
    <w:rsid w:val="006A1278"/>
    <w:rsid w:val="007D3F55"/>
    <w:rsid w:val="008936FB"/>
    <w:rsid w:val="0089468B"/>
    <w:rsid w:val="00896952"/>
    <w:rsid w:val="00B8740F"/>
    <w:rsid w:val="00BD6A3A"/>
    <w:rsid w:val="00C70AFA"/>
    <w:rsid w:val="00CA573A"/>
    <w:rsid w:val="00CA7E0E"/>
    <w:rsid w:val="00DA4BF2"/>
    <w:rsid w:val="00DD5909"/>
    <w:rsid w:val="00E95FD7"/>
    <w:rsid w:val="00F64B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F55"/>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HeaderChar">
    <w:name w:val="Header Char"/>
    <w:basedOn w:val="DefaultParagraphFont"/>
    <w:link w:val="Header"/>
    <w:uiPriority w:val="99"/>
    <w:rsid w:val="007D3F55"/>
    <w:rPr>
      <w:rFonts w:ascii="Times New Roman" w:eastAsia="Times New Roman" w:hAnsi="Times New Roman" w:cs="Gautami"/>
      <w:sz w:val="24"/>
      <w:szCs w:val="24"/>
      <w:lang w:bidi="te-IN"/>
    </w:rPr>
  </w:style>
  <w:style w:type="paragraph" w:styleId="Footer">
    <w:name w:val="footer"/>
    <w:basedOn w:val="Normal"/>
    <w:link w:val="FooterChar"/>
    <w:uiPriority w:val="99"/>
    <w:unhideWhenUsed/>
    <w:rsid w:val="007D3F55"/>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FooterChar">
    <w:name w:val="Footer Char"/>
    <w:basedOn w:val="DefaultParagraphFont"/>
    <w:link w:val="Footer"/>
    <w:uiPriority w:val="99"/>
    <w:rsid w:val="007D3F55"/>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7D3F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F55"/>
    <w:rPr>
      <w:rFonts w:ascii="Tahoma" w:hAnsi="Tahoma" w:cs="Tahoma"/>
      <w:sz w:val="16"/>
      <w:szCs w:val="16"/>
    </w:rPr>
  </w:style>
  <w:style w:type="paragraph" w:styleId="ListParagraph">
    <w:name w:val="List Paragraph"/>
    <w:basedOn w:val="Normal"/>
    <w:uiPriority w:val="34"/>
    <w:qFormat/>
    <w:rsid w:val="0089468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bh/url?sa=i&amp;rct=j&amp;q=&amp;esrc=s&amp;frm=1&amp;source=images&amp;cd=&amp;cad=rja&amp;uact=8&amp;ved=2ahUKEwjCiuulrpLdAhUHhxoKHVRoCn4QjRx6BAgBEAU&amp;url=http://salamatcom.com/index.php/en/ads/580526ee9ffb4/Centers-%D8%A7%D9%84%D9%85%D8%B1%D8%A7%D9%83%D8%B2/Jaw-and-Askar-Clinic&amp;psig=AOvVaw3TK6p8Jb5w5HmFLa1mMlVW&amp;ust=1535635485624802" TargetMode="External"/><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pc</dc:creator>
  <cp:keywords/>
  <dc:description/>
  <cp:lastModifiedBy>ali pc</cp:lastModifiedBy>
  <cp:revision>21</cp:revision>
  <dcterms:created xsi:type="dcterms:W3CDTF">2018-08-29T13:16:00Z</dcterms:created>
  <dcterms:modified xsi:type="dcterms:W3CDTF">2018-08-29T16:13:00Z</dcterms:modified>
</cp:coreProperties>
</file>