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A401E">
      <w:pPr>
        <w:pStyle w:val="1"/>
        <w:spacing w:before="170"/>
      </w:pPr>
      <w:r w:rsidRPr="00CA401E">
        <w:rPr>
          <w:color w:val="337AB7"/>
        </w:rPr>
        <w:t>Atomic Energy – green and renewable</w:t>
      </w:r>
    </w:p>
    <w:p w:rsidR="00AE3E37" w:rsidRDefault="00CA401E">
      <w:pPr>
        <w:pStyle w:val="a3"/>
        <w:spacing w:before="73" w:line="198" w:lineRule="exact"/>
        <w:ind w:left="100" w:right="5967"/>
        <w:rPr>
          <w:rFonts w:ascii="Arial"/>
        </w:rPr>
      </w:pPr>
      <w:r>
        <w:rPr>
          <w:rFonts w:ascii="Arial"/>
        </w:rPr>
        <w:t>Vladimir A. Grachev</w:t>
      </w:r>
      <w:r w:rsidR="00A9710C">
        <w:rPr>
          <w:rFonts w:ascii="Arial"/>
        </w:rPr>
        <w:t>,</w:t>
      </w:r>
      <w:r w:rsidRPr="00CA401E">
        <w:t xml:space="preserve"> </w:t>
      </w:r>
      <w:r w:rsidRPr="00CA401E">
        <w:rPr>
          <w:rFonts w:ascii="Arial"/>
        </w:rPr>
        <w:t xml:space="preserve">Adviser to the Director General of </w:t>
      </w:r>
      <w:proofErr w:type="spellStart"/>
      <w:r w:rsidRPr="00CA401E">
        <w:rPr>
          <w:rFonts w:ascii="Arial"/>
        </w:rPr>
        <w:t>Rosatom</w:t>
      </w:r>
      <w:proofErr w:type="spellEnd"/>
      <w:r w:rsidRPr="00CA401E">
        <w:rPr>
          <w:rFonts w:ascii="Arial"/>
        </w:rPr>
        <w:t xml:space="preserve"> State Nuclear Energy Corporation, Head of the Global Ecology Center at the Faculty of Global Processes, </w:t>
      </w:r>
      <w:proofErr w:type="spellStart"/>
      <w:r>
        <w:rPr>
          <w:rFonts w:ascii="Arial"/>
        </w:rPr>
        <w:t>Lomonosov</w:t>
      </w:r>
      <w:proofErr w:type="spellEnd"/>
      <w:r>
        <w:rPr>
          <w:rFonts w:ascii="Arial"/>
        </w:rPr>
        <w:t xml:space="preserve"> </w:t>
      </w:r>
      <w:r w:rsidRPr="00CA401E">
        <w:rPr>
          <w:rFonts w:ascii="Arial"/>
        </w:rPr>
        <w:t>Moscow State University, Doctor of Technical Sciences, Prof</w:t>
      </w:r>
      <w:r>
        <w:rPr>
          <w:rFonts w:ascii="Arial"/>
        </w:rPr>
        <w:t>essor, Corresponding Member of Russian Sciences Academy,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F01DF1">
          <w:headerReference w:type="default" r:id="rId8"/>
          <w:footerReference w:type="default" r:id="rId9"/>
          <w:type w:val="continuous"/>
          <w:pgSz w:w="11910" w:h="16840"/>
          <w:pgMar w:top="1418"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D731EE" w:rsidRDefault="008C1FCF">
      <w:pPr>
        <w:pStyle w:val="a3"/>
        <w:spacing w:before="90" w:line="280" w:lineRule="auto"/>
        <w:ind w:left="100"/>
        <w:jc w:val="both"/>
      </w:pPr>
      <w:r>
        <w:rPr>
          <w:rFonts w:ascii="Arial"/>
          <w:b/>
          <w:noProof/>
          <w:sz w:val="16"/>
          <w:lang w:val="ru-RU" w:eastAsia="ru-RU"/>
        </w:rPr>
        <w:drawing>
          <wp:anchor distT="0" distB="0" distL="114300" distR="114300" simplePos="0" relativeHeight="251660288" behindDoc="0" locked="0" layoutInCell="1" allowOverlap="1" wp14:anchorId="6D70771C" wp14:editId="0E96504E">
            <wp:simplePos x="0" y="0"/>
            <wp:positionH relativeFrom="column">
              <wp:posOffset>3556635</wp:posOffset>
            </wp:positionH>
            <wp:positionV relativeFrom="paragraph">
              <wp:posOffset>59055</wp:posOffset>
            </wp:positionV>
            <wp:extent cx="3165475" cy="2340610"/>
            <wp:effectExtent l="0" t="0" r="0" b="254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340610"/>
                    </a:xfrm>
                    <a:prstGeom prst="rect">
                      <a:avLst/>
                    </a:prstGeom>
                  </pic:spPr>
                </pic:pic>
              </a:graphicData>
            </a:graphic>
            <wp14:sizeRelH relativeFrom="page">
              <wp14:pctWidth>0</wp14:pctWidth>
            </wp14:sizeRelH>
            <wp14:sizeRelV relativeFrom="page">
              <wp14:pctHeight>0</wp14:pctHeight>
            </wp14:sizeRelV>
          </wp:anchor>
        </w:drawing>
      </w:r>
      <w:r w:rsidR="00D731EE" w:rsidRPr="00D731EE">
        <w:t xml:space="preserve">Global climate change is one of the three most important global environmental problems. It is closely connected with the development of energy, where “green” and “renewable” sources of energy are clearly indicated. At the same time the criteria of “greenness” and “renewability” are very vague. Renewable (RES) is usually considered solar, wind and similar, except for fuel, which, apparently, is justified. But why the nuclear energy is not considered as renewable? Because it is potentially dangerous, and for those who consider themselves to be “green”, it is not in high esteem. Is it so? The task is urgent, it is necessary to understand.  </w:t>
      </w:r>
    </w:p>
    <w:p w:rsidR="006F4193" w:rsidRDefault="006F4193" w:rsidP="006F4193">
      <w:pPr>
        <w:pStyle w:val="a3"/>
        <w:spacing w:before="90" w:line="280" w:lineRule="auto"/>
        <w:ind w:left="100"/>
        <w:jc w:val="both"/>
      </w:pPr>
      <w:r>
        <w:t xml:space="preserve">The second task is whether the nuclear energy is green or not? “The green” say that it is not green. “Greenness” is determined by environmental efficiency. The </w:t>
      </w:r>
      <w:proofErr w:type="spellStart"/>
      <w:r>
        <w:t>environmentl</w:t>
      </w:r>
      <w:proofErr w:type="spellEnd"/>
      <w:r>
        <w:t xml:space="preserve"> efficiency of energy technologies depends on what kind of energy is used and it is determined by the impact of this technology on the environment and environmental safety for personnel and the public. </w:t>
      </w:r>
    </w:p>
    <w:p w:rsidR="006F4193" w:rsidRDefault="006F4193" w:rsidP="006F4193">
      <w:pPr>
        <w:pStyle w:val="a3"/>
        <w:spacing w:before="90" w:line="280" w:lineRule="auto"/>
        <w:ind w:left="100"/>
        <w:jc w:val="both"/>
      </w:pPr>
      <w:r>
        <w:t xml:space="preserve">The energy withdrawal for human needs is always associated with some environmental problems: climate change, pollution and depletion of natural resources. </w:t>
      </w:r>
    </w:p>
    <w:p w:rsidR="006F4193" w:rsidRDefault="006F4193" w:rsidP="006F4193">
      <w:pPr>
        <w:pStyle w:val="a3"/>
        <w:spacing w:before="90" w:line="280" w:lineRule="auto"/>
        <w:ind w:left="100"/>
        <w:jc w:val="both"/>
      </w:pPr>
      <w:r>
        <w:t xml:space="preserve">It is clear that some energy technologies are not associated with the release of greenhouse gases and therefore do not affect global climate change. However, in order to create devices to convert the sun or wind energy, or to build a nuclear power plant, it is necessary to obtain construction materials, to manufacture equipment, to carry out construction work, to use materials and vehicles for their operation, etc., which in turn is associated with the greenhouse gases emission, and, consequently, with the global climate change.  </w:t>
      </w:r>
    </w:p>
    <w:p w:rsidR="00AE3E37" w:rsidRDefault="00A9710C">
      <w:pPr>
        <w:pStyle w:val="3"/>
        <w:spacing w:before="74"/>
      </w:pPr>
      <w:r>
        <w:rPr>
          <w:b w:val="0"/>
        </w:rPr>
        <w:br w:type="column"/>
      </w:r>
      <w:r>
        <w:rPr>
          <w:color w:val="BF5A14"/>
        </w:rPr>
        <w:lastRenderedPageBreak/>
        <w:t>Image</w:t>
      </w:r>
    </w:p>
    <w:p w:rsidR="008C1FCF" w:rsidRPr="008C1FCF" w:rsidRDefault="008C1FCF">
      <w:pPr>
        <w:pStyle w:val="a3"/>
        <w:spacing w:before="2"/>
        <w:rPr>
          <w:rFonts w:ascii="Arial"/>
          <w:b/>
          <w:sz w:val="16"/>
        </w:rPr>
      </w:pPr>
      <w:r w:rsidRPr="008C1FCF">
        <w:rPr>
          <w:rFonts w:ascii="Arial"/>
          <w:b/>
          <w:sz w:val="16"/>
        </w:rPr>
        <w:t xml:space="preserve">         </w:t>
      </w:r>
      <w:proofErr w:type="gramStart"/>
      <w:r w:rsidRPr="008C1FCF">
        <w:rPr>
          <w:rFonts w:ascii="Arial"/>
          <w:b/>
          <w:sz w:val="16"/>
        </w:rPr>
        <w:t>Fig. 1.</w:t>
      </w:r>
      <w:proofErr w:type="gramEnd"/>
      <w:r w:rsidRPr="008C1FCF">
        <w:rPr>
          <w:rFonts w:ascii="Arial"/>
          <w:b/>
          <w:sz w:val="16"/>
        </w:rPr>
        <w:t xml:space="preserve"> The total complex indicator of harmful impact on the      </w:t>
      </w:r>
    </w:p>
    <w:p w:rsidR="00AE3E37" w:rsidRDefault="008C1FCF">
      <w:pPr>
        <w:pStyle w:val="a3"/>
        <w:spacing w:before="2"/>
        <w:rPr>
          <w:rFonts w:ascii="Arial"/>
          <w:b/>
          <w:sz w:val="16"/>
        </w:rPr>
      </w:pPr>
      <w:r w:rsidRPr="008C1FCF">
        <w:rPr>
          <w:rFonts w:ascii="Arial"/>
          <w:b/>
          <w:sz w:val="16"/>
        </w:rPr>
        <w:t xml:space="preserve">         </w:t>
      </w:r>
      <w:proofErr w:type="gramStart"/>
      <w:r w:rsidRPr="008C1FCF">
        <w:rPr>
          <w:rFonts w:ascii="Arial"/>
          <w:b/>
          <w:sz w:val="16"/>
        </w:rPr>
        <w:t>environment</w:t>
      </w:r>
      <w:proofErr w:type="gramEnd"/>
      <w:r w:rsidRPr="008C1FCF">
        <w:rPr>
          <w:rFonts w:ascii="Arial"/>
          <w:b/>
          <w:sz w:val="16"/>
        </w:rPr>
        <w:t xml:space="preserve"> and human by E2-E8</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F01DF1" w:rsidRDefault="00F01DF1" w:rsidP="00F01DF1">
      <w:pPr>
        <w:pStyle w:val="a4"/>
        <w:numPr>
          <w:ilvl w:val="0"/>
          <w:numId w:val="2"/>
        </w:numPr>
        <w:rPr>
          <w:sz w:val="18"/>
        </w:rPr>
      </w:pPr>
      <w:proofErr w:type="spellStart"/>
      <w:r w:rsidRPr="00F01DF1">
        <w:rPr>
          <w:sz w:val="18"/>
        </w:rPr>
        <w:t>Blis</w:t>
      </w:r>
      <w:proofErr w:type="spellEnd"/>
      <w:r w:rsidRPr="00F01DF1">
        <w:rPr>
          <w:sz w:val="18"/>
        </w:rPr>
        <w:t xml:space="preserve"> T. The medicine for the planet. A painless remedy for an energy and environmental disaster. Public Council of the State Corporation "</w:t>
      </w:r>
      <w:proofErr w:type="spellStart"/>
      <w:r w:rsidRPr="00F01DF1">
        <w:rPr>
          <w:sz w:val="18"/>
        </w:rPr>
        <w:t>Rosatom</w:t>
      </w:r>
      <w:proofErr w:type="spellEnd"/>
      <w:r w:rsidRPr="00F01DF1">
        <w:rPr>
          <w:sz w:val="18"/>
        </w:rPr>
        <w:t>", 2009. 512 p.</w:t>
      </w:r>
    </w:p>
    <w:p w:rsidR="008C1FCF" w:rsidRPr="008C1FCF" w:rsidRDefault="008C1FCF" w:rsidP="008C1FCF">
      <w:pPr>
        <w:pStyle w:val="a4"/>
        <w:numPr>
          <w:ilvl w:val="0"/>
          <w:numId w:val="2"/>
        </w:numPr>
        <w:rPr>
          <w:sz w:val="18"/>
        </w:rPr>
      </w:pPr>
      <w:r w:rsidRPr="008C1FCF">
        <w:rPr>
          <w:sz w:val="18"/>
        </w:rPr>
        <w:t xml:space="preserve">Grachev V.A. Quality </w:t>
      </w:r>
      <w:proofErr w:type="gramStart"/>
      <w:r w:rsidRPr="008C1FCF">
        <w:rPr>
          <w:sz w:val="18"/>
        </w:rPr>
        <w:t>Of</w:t>
      </w:r>
      <w:proofErr w:type="gramEnd"/>
      <w:r w:rsidRPr="008C1FCF">
        <w:rPr>
          <w:sz w:val="18"/>
        </w:rPr>
        <w:t xml:space="preserve"> Cast Iron Smelted In A Gas Cupola Furnace As A Constructional Material. International Journal of Applied Engineering Research ISSN 0973-4562 Volume 11, Number 13, 2016.</w:t>
      </w:r>
    </w:p>
    <w:p w:rsidR="008C1FCF" w:rsidRPr="008C1FCF" w:rsidRDefault="008C1FCF" w:rsidP="008C1FCF">
      <w:pPr>
        <w:pStyle w:val="a4"/>
        <w:numPr>
          <w:ilvl w:val="0"/>
          <w:numId w:val="2"/>
        </w:numPr>
        <w:rPr>
          <w:sz w:val="18"/>
        </w:rPr>
      </w:pPr>
      <w:r w:rsidRPr="008C1FCF">
        <w:rPr>
          <w:sz w:val="18"/>
        </w:rPr>
        <w:t xml:space="preserve">Galli A., </w:t>
      </w:r>
      <w:proofErr w:type="spellStart"/>
      <w:r w:rsidRPr="008C1FCF">
        <w:rPr>
          <w:sz w:val="18"/>
        </w:rPr>
        <w:t>Wiedmann</w:t>
      </w:r>
      <w:proofErr w:type="spellEnd"/>
      <w:r w:rsidRPr="008C1FCF">
        <w:rPr>
          <w:sz w:val="18"/>
        </w:rPr>
        <w:t xml:space="preserve"> T., </w:t>
      </w:r>
      <w:proofErr w:type="spellStart"/>
      <w:r w:rsidRPr="008C1FCF">
        <w:rPr>
          <w:sz w:val="18"/>
        </w:rPr>
        <w:t>Ercin</w:t>
      </w:r>
      <w:proofErr w:type="spellEnd"/>
      <w:r w:rsidRPr="008C1FCF">
        <w:rPr>
          <w:sz w:val="18"/>
        </w:rPr>
        <w:t xml:space="preserve"> E., Knoblauch D. Integrating Ecological, Carbon and Water footprint into a “Footprint Family” of indicators: Definition and role in tracking human pressure on the planet / Ecological Indicators 16, 2012. pp. 100 – 112.</w:t>
      </w:r>
    </w:p>
    <w:p w:rsidR="008C1FCF" w:rsidRPr="008C1FCF" w:rsidRDefault="008C1FCF" w:rsidP="008C1FCF">
      <w:pPr>
        <w:pStyle w:val="a4"/>
        <w:numPr>
          <w:ilvl w:val="0"/>
          <w:numId w:val="2"/>
        </w:numPr>
        <w:rPr>
          <w:sz w:val="18"/>
        </w:rPr>
      </w:pPr>
      <w:r w:rsidRPr="008C1FCF">
        <w:rPr>
          <w:sz w:val="18"/>
        </w:rPr>
        <w:t xml:space="preserve">McDonald A., Nuclear power and sustainable development. IAEA. Planning and Economic Research Section. Department of Nuclear Energy International Atomic Energy Agency, </w:t>
      </w:r>
      <w:proofErr w:type="spellStart"/>
      <w:r w:rsidRPr="008C1FCF">
        <w:rPr>
          <w:sz w:val="18"/>
        </w:rPr>
        <w:t>Wagramer</w:t>
      </w:r>
      <w:proofErr w:type="spellEnd"/>
      <w:r w:rsidRPr="008C1FCF">
        <w:rPr>
          <w:sz w:val="18"/>
        </w:rPr>
        <w:t xml:space="preserve"> </w:t>
      </w:r>
      <w:proofErr w:type="spellStart"/>
      <w:r w:rsidRPr="008C1FCF">
        <w:rPr>
          <w:sz w:val="18"/>
        </w:rPr>
        <w:t>Strasse</w:t>
      </w:r>
      <w:proofErr w:type="spellEnd"/>
      <w:r w:rsidRPr="008C1FCF">
        <w:rPr>
          <w:sz w:val="18"/>
        </w:rPr>
        <w:t xml:space="preserve"> 5, P.O. Box 100 A-1400 Vienna, Austria</w:t>
      </w:r>
    </w:p>
    <w:p w:rsidR="008C1FCF" w:rsidRPr="008C1FCF" w:rsidRDefault="008C1FCF" w:rsidP="008C1FCF">
      <w:pPr>
        <w:pStyle w:val="a4"/>
        <w:numPr>
          <w:ilvl w:val="0"/>
          <w:numId w:val="2"/>
        </w:numPr>
        <w:rPr>
          <w:sz w:val="18"/>
          <w:lang w:val="ru-RU"/>
        </w:rPr>
      </w:pPr>
      <w:proofErr w:type="spellStart"/>
      <w:r w:rsidRPr="008C1FCF">
        <w:rPr>
          <w:sz w:val="18"/>
        </w:rPr>
        <w:t>Stechow</w:t>
      </w:r>
      <w:proofErr w:type="spellEnd"/>
      <w:r>
        <w:rPr>
          <w:sz w:val="18"/>
        </w:rPr>
        <w:t xml:space="preserve"> C.</w:t>
      </w:r>
      <w:r w:rsidRPr="008C1FCF">
        <w:rPr>
          <w:sz w:val="18"/>
        </w:rPr>
        <w:t>, Minx</w:t>
      </w:r>
      <w:r>
        <w:rPr>
          <w:sz w:val="18"/>
        </w:rPr>
        <w:t xml:space="preserve"> J.</w:t>
      </w:r>
      <w:r w:rsidRPr="008C1FCF">
        <w:rPr>
          <w:sz w:val="18"/>
        </w:rPr>
        <w:t xml:space="preserve">, </w:t>
      </w:r>
      <w:proofErr w:type="spellStart"/>
      <w:r w:rsidRPr="008C1FCF">
        <w:rPr>
          <w:sz w:val="18"/>
        </w:rPr>
        <w:t>Riahi</w:t>
      </w:r>
      <w:proofErr w:type="spellEnd"/>
      <w:r>
        <w:rPr>
          <w:sz w:val="18"/>
        </w:rPr>
        <w:t xml:space="preserve"> K.</w:t>
      </w:r>
      <w:r w:rsidRPr="008C1FCF">
        <w:rPr>
          <w:sz w:val="18"/>
        </w:rPr>
        <w:t>, Jewell</w:t>
      </w:r>
      <w:r>
        <w:rPr>
          <w:sz w:val="18"/>
        </w:rPr>
        <w:t xml:space="preserve"> J.</w:t>
      </w:r>
      <w:r w:rsidRPr="008C1FCF">
        <w:rPr>
          <w:sz w:val="18"/>
        </w:rPr>
        <w:t>, McCollum</w:t>
      </w:r>
      <w:r>
        <w:rPr>
          <w:sz w:val="18"/>
        </w:rPr>
        <w:t xml:space="preserve"> D.</w:t>
      </w:r>
      <w:r w:rsidRPr="008C1FCF">
        <w:rPr>
          <w:sz w:val="18"/>
        </w:rPr>
        <w:t xml:space="preserve">, </w:t>
      </w:r>
      <w:r>
        <w:rPr>
          <w:sz w:val="18"/>
        </w:rPr>
        <w:t>C</w:t>
      </w:r>
      <w:r w:rsidRPr="008C1FCF">
        <w:rPr>
          <w:sz w:val="18"/>
        </w:rPr>
        <w:t>allaghan</w:t>
      </w:r>
      <w:r>
        <w:rPr>
          <w:sz w:val="18"/>
        </w:rPr>
        <w:t xml:space="preserve"> M.</w:t>
      </w:r>
      <w:r w:rsidRPr="008C1FCF">
        <w:rPr>
          <w:sz w:val="18"/>
        </w:rPr>
        <w:t>, Bertram</w:t>
      </w:r>
      <w:r>
        <w:rPr>
          <w:sz w:val="18"/>
        </w:rPr>
        <w:t xml:space="preserve"> C.</w:t>
      </w:r>
      <w:r w:rsidRPr="008C1FCF">
        <w:rPr>
          <w:sz w:val="18"/>
        </w:rPr>
        <w:t xml:space="preserve">,  </w:t>
      </w:r>
      <w:proofErr w:type="spellStart"/>
      <w:r w:rsidRPr="008C1FCF">
        <w:rPr>
          <w:sz w:val="18"/>
        </w:rPr>
        <w:t>Luderer</w:t>
      </w:r>
      <w:proofErr w:type="spellEnd"/>
      <w:r>
        <w:rPr>
          <w:sz w:val="18"/>
        </w:rPr>
        <w:t xml:space="preserve"> G.,</w:t>
      </w:r>
      <w:r w:rsidRPr="008C1FCF">
        <w:rPr>
          <w:sz w:val="18"/>
        </w:rPr>
        <w:t xml:space="preserve"> </w:t>
      </w:r>
      <w:proofErr w:type="spellStart"/>
      <w:r w:rsidRPr="008C1FCF">
        <w:rPr>
          <w:sz w:val="18"/>
        </w:rPr>
        <w:t>Baiocchi</w:t>
      </w:r>
      <w:proofErr w:type="spellEnd"/>
      <w:r>
        <w:rPr>
          <w:sz w:val="18"/>
        </w:rPr>
        <w:t xml:space="preserve"> G.</w:t>
      </w:r>
      <w:r w:rsidRPr="008C1FCF">
        <w:rPr>
          <w:sz w:val="18"/>
        </w:rPr>
        <w:t xml:space="preserve"> 2°C and SDGs: united they stand, divided they fall? Environmental Research Letters (Journal). Environ</w:t>
      </w:r>
      <w:r w:rsidRPr="008C1FCF">
        <w:rPr>
          <w:sz w:val="18"/>
          <w:lang w:val="ru-RU"/>
        </w:rPr>
        <w:t xml:space="preserve">. </w:t>
      </w:r>
      <w:r w:rsidRPr="008C1FCF">
        <w:rPr>
          <w:sz w:val="18"/>
        </w:rPr>
        <w:t>Res</w:t>
      </w:r>
      <w:r w:rsidRPr="008C1FCF">
        <w:rPr>
          <w:sz w:val="18"/>
          <w:lang w:val="ru-RU"/>
        </w:rPr>
        <w:t xml:space="preserve">. </w:t>
      </w:r>
      <w:proofErr w:type="spellStart"/>
      <w:r w:rsidRPr="008C1FCF">
        <w:rPr>
          <w:sz w:val="18"/>
        </w:rPr>
        <w:t>Lett</w:t>
      </w:r>
      <w:proofErr w:type="spellEnd"/>
      <w:r w:rsidRPr="008C1FCF">
        <w:rPr>
          <w:sz w:val="18"/>
          <w:lang w:val="ru-RU"/>
        </w:rPr>
        <w:t xml:space="preserve">. 11 (2016) 034022 </w:t>
      </w:r>
      <w:proofErr w:type="spellStart"/>
      <w:r w:rsidRPr="008C1FCF">
        <w:rPr>
          <w:sz w:val="18"/>
        </w:rPr>
        <w:t>doi</w:t>
      </w:r>
      <w:proofErr w:type="spellEnd"/>
      <w:r w:rsidRPr="008C1FCF">
        <w:rPr>
          <w:sz w:val="18"/>
          <w:lang w:val="ru-RU"/>
        </w:rPr>
        <w:t xml:space="preserve">:10.1088/1748-9326/11/3/034022. </w:t>
      </w:r>
      <w:r>
        <w:rPr>
          <w:sz w:val="18"/>
        </w:rPr>
        <w:t>Available</w:t>
      </w:r>
      <w:r w:rsidRPr="008C1FCF">
        <w:rPr>
          <w:sz w:val="18"/>
          <w:lang w:val="ru-RU"/>
        </w:rPr>
        <w:t>:</w:t>
      </w:r>
      <w:r>
        <w:rPr>
          <w:sz w:val="18"/>
        </w:rPr>
        <w:t xml:space="preserve"> </w:t>
      </w:r>
      <w:hyperlink r:id="rId11" w:history="1">
        <w:r w:rsidRPr="009C35A4">
          <w:rPr>
            <w:rStyle w:val="ab"/>
            <w:sz w:val="18"/>
          </w:rPr>
          <w:t>http</w:t>
        </w:r>
        <w:r w:rsidRPr="009C35A4">
          <w:rPr>
            <w:rStyle w:val="ab"/>
            <w:sz w:val="18"/>
            <w:lang w:val="ru-RU"/>
          </w:rPr>
          <w:t>://</w:t>
        </w:r>
        <w:proofErr w:type="spellStart"/>
        <w:r w:rsidRPr="009C35A4">
          <w:rPr>
            <w:rStyle w:val="ab"/>
            <w:sz w:val="18"/>
          </w:rPr>
          <w:t>iopscience</w:t>
        </w:r>
        <w:proofErr w:type="spellEnd"/>
        <w:r w:rsidRPr="009C35A4">
          <w:rPr>
            <w:rStyle w:val="ab"/>
            <w:sz w:val="18"/>
            <w:lang w:val="ru-RU"/>
          </w:rPr>
          <w:t>.</w:t>
        </w:r>
        <w:proofErr w:type="spellStart"/>
        <w:r w:rsidRPr="009C35A4">
          <w:rPr>
            <w:rStyle w:val="ab"/>
            <w:sz w:val="18"/>
          </w:rPr>
          <w:t>iop</w:t>
        </w:r>
        <w:proofErr w:type="spellEnd"/>
        <w:r w:rsidRPr="009C35A4">
          <w:rPr>
            <w:rStyle w:val="ab"/>
            <w:sz w:val="18"/>
            <w:lang w:val="ru-RU"/>
          </w:rPr>
          <w:t>.</w:t>
        </w:r>
        <w:r w:rsidRPr="009C35A4">
          <w:rPr>
            <w:rStyle w:val="ab"/>
            <w:sz w:val="18"/>
          </w:rPr>
          <w:t>org</w:t>
        </w:r>
        <w:r w:rsidRPr="009C35A4">
          <w:rPr>
            <w:rStyle w:val="ab"/>
            <w:sz w:val="18"/>
            <w:lang w:val="ru-RU"/>
          </w:rPr>
          <w:t>/</w:t>
        </w:r>
        <w:r w:rsidRPr="009C35A4">
          <w:rPr>
            <w:rStyle w:val="ab"/>
            <w:sz w:val="18"/>
          </w:rPr>
          <w:t>article</w:t>
        </w:r>
        <w:r w:rsidRPr="009C35A4">
          <w:rPr>
            <w:rStyle w:val="ab"/>
            <w:sz w:val="18"/>
            <w:lang w:val="ru-RU"/>
          </w:rPr>
          <w:t>/10.1088/1748-9326/11/3/034022/</w:t>
        </w:r>
        <w:r w:rsidRPr="009C35A4">
          <w:rPr>
            <w:rStyle w:val="ab"/>
            <w:sz w:val="18"/>
          </w:rPr>
          <w:t>pdf</w:t>
        </w:r>
      </w:hyperlink>
      <w:r>
        <w:rPr>
          <w:sz w:val="18"/>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815B72">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F01DF1" w:rsidP="00F01DF1">
      <w:pPr>
        <w:spacing w:before="92"/>
        <w:ind w:right="4234"/>
        <w:jc w:val="center"/>
        <w:rPr>
          <w:rFonts w:ascii="Arial"/>
        </w:rPr>
      </w:pPr>
      <w:r>
        <w:rPr>
          <w:rFonts w:ascii="Arial"/>
          <w:noProof/>
          <w:color w:val="BF5A14"/>
          <w:lang w:val="ru-RU" w:eastAsia="ru-RU"/>
        </w:rPr>
        <w:drawing>
          <wp:anchor distT="0" distB="0" distL="114300" distR="114300" simplePos="0" relativeHeight="251661312" behindDoc="1" locked="0" layoutInCell="1" allowOverlap="1">
            <wp:simplePos x="0" y="0"/>
            <wp:positionH relativeFrom="column">
              <wp:posOffset>154940</wp:posOffset>
            </wp:positionH>
            <wp:positionV relativeFrom="paragraph">
              <wp:posOffset>201295</wp:posOffset>
            </wp:positionV>
            <wp:extent cx="734060" cy="795020"/>
            <wp:effectExtent l="0" t="0" r="8890" b="5080"/>
            <wp:wrapTight wrapText="bothSides">
              <wp:wrapPolygon edited="0">
                <wp:start x="0" y="0"/>
                <wp:lineTo x="0" y="21220"/>
                <wp:lineTo x="21301" y="21220"/>
                <wp:lineTo x="21301"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4060" cy="795020"/>
                    </a:xfrm>
                    <a:prstGeom prst="rect">
                      <a:avLst/>
                    </a:prstGeom>
                    <a:noFill/>
                  </pic:spPr>
                </pic:pic>
              </a:graphicData>
            </a:graphic>
            <wp14:sizeRelH relativeFrom="page">
              <wp14:pctWidth>0</wp14:pctWidth>
            </wp14:sizeRelH>
            <wp14:sizeRelV relativeFrom="page">
              <wp14:pctHeight>0</wp14:pctHeight>
            </wp14:sizeRelV>
          </wp:anchor>
        </w:drawing>
      </w:r>
      <w:r>
        <w:rPr>
          <w:rFonts w:ascii="Arial"/>
          <w:color w:val="BF5A14"/>
        </w:rPr>
        <w:t xml:space="preserve">                                                           </w:t>
      </w:r>
      <w:r w:rsidR="00A9710C">
        <w:rPr>
          <w:rFonts w:ascii="Arial"/>
          <w:color w:val="BF5A14"/>
        </w:rPr>
        <w:t>Biography</w:t>
      </w:r>
    </w:p>
    <w:p w:rsidR="00F01DF1" w:rsidRPr="00F01DF1" w:rsidRDefault="00F01DF1" w:rsidP="00F01DF1">
      <w:pPr>
        <w:spacing w:before="41" w:line="154" w:lineRule="exact"/>
        <w:ind w:left="213" w:right="231"/>
        <w:jc w:val="both"/>
        <w:rPr>
          <w:rFonts w:ascii="Arial"/>
          <w:sz w:val="14"/>
        </w:rPr>
      </w:pPr>
      <w:r w:rsidRPr="00F01DF1">
        <w:rPr>
          <w:rFonts w:ascii="Arial"/>
          <w:sz w:val="14"/>
        </w:rPr>
        <w:t>Adviser to Director Genera</w:t>
      </w:r>
      <w:r>
        <w:rPr>
          <w:rFonts w:ascii="Arial"/>
          <w:sz w:val="14"/>
        </w:rPr>
        <w:t xml:space="preserve">l of </w:t>
      </w:r>
      <w:proofErr w:type="spellStart"/>
      <w:r>
        <w:rPr>
          <w:rFonts w:ascii="Arial"/>
          <w:sz w:val="14"/>
        </w:rPr>
        <w:t>Rosatom</w:t>
      </w:r>
      <w:proofErr w:type="spellEnd"/>
      <w:r>
        <w:rPr>
          <w:rFonts w:ascii="Arial"/>
          <w:sz w:val="14"/>
        </w:rPr>
        <w:t xml:space="preserve"> State Corporation, </w:t>
      </w:r>
      <w:proofErr w:type="gramStart"/>
      <w:r w:rsidRPr="00F01DF1">
        <w:rPr>
          <w:rFonts w:ascii="Arial"/>
          <w:sz w:val="14"/>
        </w:rPr>
        <w:t>D.Sc.,</w:t>
      </w:r>
      <w:proofErr w:type="gramEnd"/>
      <w:r w:rsidRPr="00F01DF1">
        <w:rPr>
          <w:rFonts w:ascii="Arial"/>
          <w:sz w:val="14"/>
        </w:rPr>
        <w:t xml:space="preserve"> Professor, Member of the Russian Academy of Sciences  </w:t>
      </w:r>
    </w:p>
    <w:p w:rsidR="00F01DF1" w:rsidRPr="00F01DF1" w:rsidRDefault="00F01DF1" w:rsidP="00F01DF1">
      <w:pPr>
        <w:spacing w:before="41" w:line="154" w:lineRule="exact"/>
        <w:ind w:left="213" w:right="231"/>
        <w:jc w:val="both"/>
        <w:rPr>
          <w:rFonts w:ascii="Arial"/>
          <w:sz w:val="14"/>
        </w:rPr>
      </w:pPr>
      <w:proofErr w:type="gramStart"/>
      <w:r>
        <w:rPr>
          <w:rFonts w:ascii="Arial"/>
          <w:sz w:val="14"/>
        </w:rPr>
        <w:t xml:space="preserve">Vladimir </w:t>
      </w:r>
      <w:r w:rsidRPr="00F01DF1">
        <w:rPr>
          <w:rFonts w:ascii="Arial"/>
          <w:sz w:val="14"/>
        </w:rPr>
        <w:t xml:space="preserve"> Grachev</w:t>
      </w:r>
      <w:proofErr w:type="gramEnd"/>
      <w:r w:rsidRPr="00F01DF1">
        <w:rPr>
          <w:rFonts w:ascii="Arial"/>
          <w:sz w:val="14"/>
        </w:rPr>
        <w:t xml:space="preserve"> started his career in 1960s as an engineer at Compressor Plant; later he held a chair at the Penza State </w:t>
      </w:r>
      <w:proofErr w:type="spellStart"/>
      <w:r w:rsidRPr="00F01DF1">
        <w:rPr>
          <w:rFonts w:ascii="Arial"/>
          <w:sz w:val="14"/>
        </w:rPr>
        <w:t>Polytechnical</w:t>
      </w:r>
      <w:proofErr w:type="spellEnd"/>
      <w:r w:rsidRPr="00F01DF1">
        <w:rPr>
          <w:rFonts w:ascii="Arial"/>
          <w:sz w:val="14"/>
        </w:rPr>
        <w:t xml:space="preserve"> Institute. In 1990 he was elected a Deputy Chairman of the Committee on Higher Education and Training at the Supreme Council of the Russian Federation. Later Grachev was the Chief of the Federation Council</w:t>
      </w:r>
      <w:r w:rsidRPr="00F01DF1">
        <w:rPr>
          <w:rFonts w:ascii="Arial"/>
          <w:sz w:val="14"/>
        </w:rPr>
        <w:t>’</w:t>
      </w:r>
      <w:r w:rsidRPr="00F01DF1">
        <w:rPr>
          <w:rFonts w:ascii="Arial"/>
          <w:sz w:val="14"/>
        </w:rPr>
        <w:t xml:space="preserve">s Committee on Science, Culture, Education, Health and Ecology. In 1999-2007 he was elected a deputy of the State Duma, the Chairman of the Committee on </w:t>
      </w:r>
      <w:proofErr w:type="spellStart"/>
      <w:r w:rsidRPr="00F01DF1">
        <w:rPr>
          <w:rFonts w:ascii="Arial"/>
          <w:sz w:val="14"/>
        </w:rPr>
        <w:t>Ecology.Now</w:t>
      </w:r>
      <w:proofErr w:type="spellEnd"/>
      <w:r w:rsidRPr="00F01DF1">
        <w:rPr>
          <w:rFonts w:ascii="Arial"/>
          <w:sz w:val="14"/>
        </w:rPr>
        <w:t xml:space="preserve"> he has been the Adviser to the</w:t>
      </w:r>
      <w:r>
        <w:rPr>
          <w:rFonts w:ascii="Arial"/>
          <w:sz w:val="14"/>
        </w:rPr>
        <w:t xml:space="preserve"> Director General of </w:t>
      </w:r>
      <w:proofErr w:type="spellStart"/>
      <w:r>
        <w:rPr>
          <w:rFonts w:ascii="Arial"/>
          <w:sz w:val="14"/>
        </w:rPr>
        <w:t>Rosatom</w:t>
      </w:r>
      <w:proofErr w:type="spellEnd"/>
      <w:r>
        <w:rPr>
          <w:rFonts w:ascii="Arial"/>
          <w:sz w:val="14"/>
        </w:rPr>
        <w:t xml:space="preserve">.  </w:t>
      </w:r>
      <w:r w:rsidRPr="00F01DF1">
        <w:rPr>
          <w:rFonts w:ascii="Arial"/>
          <w:sz w:val="14"/>
        </w:rPr>
        <w:t>Main research area is physic-chemical technological bases of non-organic materials.</w:t>
      </w:r>
    </w:p>
    <w:p w:rsidR="00F01DF1" w:rsidRDefault="00F01DF1" w:rsidP="00F01DF1">
      <w:pPr>
        <w:spacing w:before="41" w:line="154" w:lineRule="exact"/>
        <w:ind w:left="213" w:right="231"/>
        <w:jc w:val="both"/>
        <w:rPr>
          <w:rFonts w:ascii="Arial"/>
          <w:sz w:val="14"/>
        </w:rPr>
      </w:pPr>
      <w:r w:rsidRPr="00F01DF1">
        <w:rPr>
          <w:rFonts w:ascii="Arial"/>
          <w:sz w:val="14"/>
        </w:rPr>
        <w:t xml:space="preserve">V.A. Grachev is an honorary member of the PACE, Chairman of the Public Council under </w:t>
      </w:r>
      <w:proofErr w:type="spellStart"/>
      <w:r w:rsidRPr="00F01DF1">
        <w:rPr>
          <w:rFonts w:ascii="Arial"/>
          <w:sz w:val="14"/>
        </w:rPr>
        <w:t>Rostekhnadzor</w:t>
      </w:r>
      <w:proofErr w:type="spellEnd"/>
      <w:r w:rsidRPr="00F01DF1">
        <w:rPr>
          <w:rFonts w:ascii="Arial"/>
          <w:sz w:val="14"/>
        </w:rPr>
        <w:t xml:space="preserve">, member of the Commission for UNESCO, President of </w:t>
      </w:r>
      <w:proofErr w:type="spellStart"/>
      <w:r w:rsidRPr="00F01DF1">
        <w:rPr>
          <w:rFonts w:ascii="Arial"/>
          <w:sz w:val="14"/>
        </w:rPr>
        <w:t>Vernadsky</w:t>
      </w:r>
      <w:proofErr w:type="spellEnd"/>
      <w:r w:rsidRPr="00F01DF1">
        <w:rPr>
          <w:rFonts w:ascii="Arial"/>
          <w:sz w:val="14"/>
        </w:rPr>
        <w:t xml:space="preserve"> Nongovernmental Ecological Foundation.</w:t>
      </w:r>
    </w:p>
    <w:p w:rsidR="00F01DF1" w:rsidRDefault="00F01DF1" w:rsidP="00F01DF1">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3" w:history="1">
        <w:r w:rsidRPr="009C35A4">
          <w:rPr>
            <w:rStyle w:val="ab"/>
            <w:rFonts w:ascii="Arial"/>
            <w:sz w:val="14"/>
          </w:rPr>
          <w:t>vagrachev@gmail.com</w:t>
        </w:r>
      </w:hyperlink>
    </w:p>
    <w:p w:rsidR="00F01DF1" w:rsidRDefault="00F01DF1" w:rsidP="00F01DF1">
      <w:pPr>
        <w:spacing w:before="62"/>
        <w:ind w:right="4235"/>
        <w:rPr>
          <w:rFonts w:ascii="Arial"/>
          <w:sz w:val="14"/>
        </w:rPr>
      </w:pPr>
      <w:r>
        <w:rPr>
          <w:rFonts w:ascii="Arial"/>
          <w:sz w:val="14"/>
        </w:rPr>
        <w:t xml:space="preserve">                                                                                   Correspondence email: </w:t>
      </w:r>
      <w:hyperlink r:id="rId14" w:history="1">
        <w:r w:rsidRPr="009C35A4">
          <w:rPr>
            <w:rStyle w:val="ab"/>
            <w:rFonts w:ascii="Arial"/>
            <w:sz w:val="14"/>
          </w:rPr>
          <w:t>salganskaya@vernadsky.ru</w:t>
        </w:r>
      </w:hyperlink>
      <w:r>
        <w:rPr>
          <w:rFonts w:ascii="Arial"/>
          <w:sz w:val="14"/>
        </w:rPr>
        <w:t xml:space="preserve">  </w:t>
      </w:r>
    </w:p>
    <w:p w:rsidR="00F01DF1" w:rsidRDefault="00F01DF1" w:rsidP="00F01DF1">
      <w:pPr>
        <w:pStyle w:val="a3"/>
        <w:spacing w:before="2"/>
        <w:rPr>
          <w:rFonts w:ascii="Arial"/>
          <w:sz w:val="20"/>
        </w:rPr>
      </w:pPr>
    </w:p>
    <w:p w:rsidR="00AE3E37" w:rsidRDefault="00815B72" w:rsidP="00F01DF1">
      <w:pPr>
        <w:pStyle w:val="a3"/>
        <w:spacing w:before="2"/>
        <w:rPr>
          <w:rFonts w:ascii="Arial"/>
          <w:sz w:val="29"/>
        </w:rPr>
      </w:pPr>
      <w:r>
        <w:rPr>
          <w:noProof/>
          <w:lang w:val="ru-RU" w:eastAsia="ru-RU"/>
        </w:rPr>
        <mc:AlternateContent>
          <mc:Choice Requires="wps">
            <w:drawing>
              <wp:anchor distT="0" distB="0" distL="0" distR="0" simplePos="0" relativeHeight="1072" behindDoc="0" locked="0" layoutInCell="1" allowOverlap="1" wp14:anchorId="5D8CAC6F" wp14:editId="78C00A1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53E" w:rsidRDefault="00DD353E">
      <w:r>
        <w:separator/>
      </w:r>
    </w:p>
  </w:endnote>
  <w:endnote w:type="continuationSeparator" w:id="0">
    <w:p w:rsidR="00DD353E" w:rsidRDefault="00DD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7A362CD3" wp14:editId="0B628F18">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5F1849AF" wp14:editId="41CFA0BB">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5555FDD3" wp14:editId="5EF763F6">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53E" w:rsidRDefault="00DD353E">
      <w:r>
        <w:separator/>
      </w:r>
    </w:p>
  </w:footnote>
  <w:footnote w:type="continuationSeparator" w:id="0">
    <w:p w:rsidR="00DD353E" w:rsidRDefault="00DD3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7A90430F" wp14:editId="0B698EDD">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6B9A6F67" wp14:editId="1EB0A853">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6F4193"/>
    <w:rsid w:val="00815B72"/>
    <w:rsid w:val="00873DF0"/>
    <w:rsid w:val="008C1FCF"/>
    <w:rsid w:val="009B2D44"/>
    <w:rsid w:val="00A9710C"/>
    <w:rsid w:val="00AE3E37"/>
    <w:rsid w:val="00B21A57"/>
    <w:rsid w:val="00C33602"/>
    <w:rsid w:val="00C33891"/>
    <w:rsid w:val="00CA401E"/>
    <w:rsid w:val="00CD6F55"/>
    <w:rsid w:val="00D731EE"/>
    <w:rsid w:val="00DD353E"/>
    <w:rsid w:val="00F01DF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8C1F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8C1F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agrachev@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opscience.iop.org/article/10.1088/1748-9326/11/3/03402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alganskaya@vernadsky.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732</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Екатерина Салганская</cp:lastModifiedBy>
  <cp:revision>2</cp:revision>
  <dcterms:created xsi:type="dcterms:W3CDTF">2018-06-18T09:33:00Z</dcterms:created>
  <dcterms:modified xsi:type="dcterms:W3CDTF">2018-06-18T09:33:00Z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