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7E7DA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5576720E" w14:textId="6E8E0BA4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6830DB">
        <w:rPr>
          <w:rFonts w:ascii="Times New Roman" w:hAnsi="Times New Roman" w:cs="Times New Roman"/>
          <w:sz w:val="24"/>
          <w:szCs w:val="24"/>
        </w:rPr>
        <w:t>Building Local Capacity for</w:t>
      </w:r>
      <w:r w:rsidR="00CC6B2C">
        <w:rPr>
          <w:rFonts w:ascii="Times New Roman" w:hAnsi="Times New Roman" w:cs="Times New Roman"/>
          <w:sz w:val="24"/>
          <w:szCs w:val="24"/>
        </w:rPr>
        <w:t xml:space="preserve"> Cohesive Disaster Risk Reduction and Climate Change Adaptation in Europe</w:t>
      </w:r>
      <w:r w:rsidR="006830DB">
        <w:rPr>
          <w:rFonts w:ascii="Times New Roman" w:hAnsi="Times New Roman" w:cs="Times New Roman"/>
          <w:sz w:val="24"/>
          <w:szCs w:val="24"/>
        </w:rPr>
        <w:t>: Challenges and Recommendations</w:t>
      </w:r>
      <w:r w:rsidR="00CC6B2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58E83D" w14:textId="3DC5A0E9" w:rsidR="00CC6B2C" w:rsidRPr="00C25890" w:rsidRDefault="0040330C" w:rsidP="00DF04E3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  <w:r w:rsidRPr="00CC6B2C">
        <w:rPr>
          <w:rFonts w:ascii="Times New Roman" w:hAnsi="Times New Roman" w:cs="Times New Roman"/>
          <w:sz w:val="24"/>
          <w:u w:val="single"/>
        </w:rPr>
        <w:t>G. Clegg</w:t>
      </w:r>
      <w:r w:rsidRPr="00CC6B2C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Pr="00CC6B2C">
        <w:rPr>
          <w:rFonts w:ascii="Times New Roman" w:hAnsi="Times New Roman" w:cs="Times New Roman"/>
          <w:sz w:val="24"/>
          <w:u w:val="single"/>
        </w:rPr>
        <w:t xml:space="preserve">, </w:t>
      </w:r>
      <w:r w:rsidR="00C25890" w:rsidRPr="004D57B7">
        <w:rPr>
          <w:rFonts w:ascii="Times New Roman" w:hAnsi="Times New Roman" w:cs="Times New Roman"/>
          <w:sz w:val="24"/>
          <w:u w:val="single"/>
        </w:rPr>
        <w:t>N. Dias</w:t>
      </w:r>
      <w:r w:rsidR="00C25890" w:rsidRPr="004D57B7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C25890" w:rsidRPr="004D57B7">
        <w:rPr>
          <w:rFonts w:ascii="Times New Roman" w:hAnsi="Times New Roman" w:cs="Times New Roman"/>
          <w:sz w:val="24"/>
          <w:u w:val="single"/>
        </w:rPr>
        <w:t xml:space="preserve">, </w:t>
      </w:r>
      <w:r w:rsidR="00CC6B2C" w:rsidRPr="00C25890">
        <w:rPr>
          <w:rFonts w:ascii="Times New Roman" w:hAnsi="Times New Roman" w:cs="Times New Roman"/>
          <w:sz w:val="24"/>
          <w:u w:val="single"/>
        </w:rPr>
        <w:t>D. Amaratunga</w:t>
      </w:r>
      <w:r w:rsidR="00CC6B2C" w:rsidRPr="00C25890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CC6B2C" w:rsidRPr="00C25890">
        <w:rPr>
          <w:rFonts w:ascii="Times New Roman" w:hAnsi="Times New Roman" w:cs="Times New Roman"/>
          <w:sz w:val="24"/>
          <w:u w:val="single"/>
        </w:rPr>
        <w:t>, R. Haigh</w:t>
      </w:r>
      <w:r w:rsidR="00CC6B2C" w:rsidRPr="00C25890"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14:paraId="45AD53FD" w14:textId="77777777" w:rsidR="0028059F" w:rsidRPr="00C25890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257BE941" w14:textId="4A648F6D"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CC6B2C">
        <w:rPr>
          <w:rFonts w:ascii="Times New Roman" w:hAnsi="Times New Roman" w:cs="Times New Roman"/>
          <w:i/>
          <w:iCs/>
          <w:sz w:val="24"/>
        </w:rPr>
        <w:t xml:space="preserve">Global Disaster Resilience Centre, </w:t>
      </w:r>
      <w:r w:rsidR="00CC6B2C">
        <w:rPr>
          <w:rFonts w:ascii="Times New Roman" w:hAnsi="Times New Roman" w:cs="Times New Roman" w:hint="eastAsia"/>
          <w:i/>
          <w:iCs/>
          <w:sz w:val="24"/>
        </w:rPr>
        <w:t>University of Huddersfield, UK</w:t>
      </w:r>
      <w:r w:rsidR="00CC6B2C">
        <w:rPr>
          <w:rFonts w:ascii="Times New Roman" w:hAnsi="Times New Roman" w:cs="Times New Roman"/>
          <w:i/>
          <w:iCs/>
          <w:sz w:val="24"/>
        </w:rPr>
        <w:t>.</w:t>
      </w:r>
    </w:p>
    <w:p w14:paraId="49616211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37FC0EA0" w14:textId="7710487C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14:paraId="769759B0" w14:textId="5CB003E3" w:rsidR="00634005" w:rsidRDefault="00CC6B2C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It is widely recognised that there </w:t>
      </w:r>
      <w:r w:rsidR="00604EC8">
        <w:rPr>
          <w:rFonts w:ascii="Times New Roman" w:hAnsi="Times New Roman" w:cs="Times New Roman"/>
          <w:sz w:val="24"/>
        </w:rPr>
        <w:t xml:space="preserve">are significant benefits in realising </w:t>
      </w:r>
      <w:r>
        <w:rPr>
          <w:rFonts w:ascii="Times New Roman" w:hAnsi="Times New Roman" w:cs="Times New Roman"/>
          <w:sz w:val="24"/>
        </w:rPr>
        <w:t>a cohesive approach to disaster risk reduction (DRR) and climate change adaptation (CCA)</w:t>
      </w:r>
      <w:r w:rsidR="00813552">
        <w:rPr>
          <w:rFonts w:ascii="Times New Roman" w:hAnsi="Times New Roman" w:cs="Times New Roman"/>
          <w:sz w:val="24"/>
        </w:rPr>
        <w:t xml:space="preserve"> for achieving resilience aims</w:t>
      </w:r>
      <w:r>
        <w:rPr>
          <w:rFonts w:ascii="Times New Roman" w:hAnsi="Times New Roman" w:cs="Times New Roman"/>
          <w:sz w:val="24"/>
        </w:rPr>
        <w:t xml:space="preserve">. However, there are many challenges that act to prevent a harmonised approach. </w:t>
      </w:r>
    </w:p>
    <w:p w14:paraId="5AC372FA" w14:textId="77777777" w:rsidR="00834A5B" w:rsidRDefault="00834A5B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1971ADDE" w14:textId="04300E94" w:rsidR="00834A5B" w:rsidRDefault="00834A5B" w:rsidP="00834A5B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4D57B7">
        <w:rPr>
          <w:rFonts w:ascii="Times New Roman" w:hAnsi="Times New Roman" w:cs="Times New Roman"/>
          <w:color w:val="000000" w:themeColor="text1"/>
          <w:sz w:val="24"/>
        </w:rPr>
        <w:t>Th</w:t>
      </w:r>
      <w:r>
        <w:rPr>
          <w:rFonts w:ascii="Times New Roman" w:hAnsi="Times New Roman" w:cs="Times New Roman"/>
          <w:color w:val="000000" w:themeColor="text1"/>
          <w:sz w:val="24"/>
        </w:rPr>
        <w:t>is study</w:t>
      </w:r>
      <w:r w:rsidRPr="004D57B7">
        <w:rPr>
          <w:rFonts w:ascii="Times New Roman" w:hAnsi="Times New Roman" w:cs="Times New Roman"/>
          <w:color w:val="000000" w:themeColor="text1"/>
          <w:sz w:val="24"/>
        </w:rPr>
        <w:t xml:space="preserve"> draws upon the findings of a EU-wide review and six national reports developed for Italy</w:t>
      </w:r>
      <w:r w:rsidR="00A71C8D">
        <w:rPr>
          <w:rFonts w:ascii="Times New Roman" w:hAnsi="Times New Roman" w:cs="Times New Roman"/>
          <w:color w:val="000000" w:themeColor="text1"/>
          <w:sz w:val="24"/>
        </w:rPr>
        <w:t>,</w:t>
      </w:r>
      <w:r w:rsidRPr="004D57B7">
        <w:rPr>
          <w:rFonts w:ascii="Times New Roman" w:hAnsi="Times New Roman" w:cs="Times New Roman"/>
          <w:color w:val="000000" w:themeColor="text1"/>
          <w:sz w:val="24"/>
        </w:rPr>
        <w:t xml:space="preserve"> Germany, France</w:t>
      </w:r>
      <w:r w:rsidR="00A71C8D">
        <w:rPr>
          <w:rFonts w:ascii="Times New Roman" w:hAnsi="Times New Roman" w:cs="Times New Roman"/>
          <w:color w:val="000000" w:themeColor="text1"/>
          <w:sz w:val="24"/>
        </w:rPr>
        <w:t>,</w:t>
      </w:r>
      <w:bookmarkStart w:id="0" w:name="_GoBack"/>
      <w:bookmarkEnd w:id="0"/>
      <w:r w:rsidRPr="004D57B7">
        <w:rPr>
          <w:rFonts w:ascii="Times New Roman" w:hAnsi="Times New Roman" w:cs="Times New Roman"/>
          <w:color w:val="000000" w:themeColor="text1"/>
          <w:sz w:val="24"/>
        </w:rPr>
        <w:t xml:space="preserve"> Switzerland, the UK and Denmark in a project entitled </w:t>
      </w:r>
      <w:proofErr w:type="spellStart"/>
      <w:r w:rsidRPr="004D57B7">
        <w:rPr>
          <w:rFonts w:ascii="Times New Roman" w:hAnsi="Times New Roman" w:cs="Times New Roman"/>
          <w:color w:val="000000" w:themeColor="text1"/>
          <w:sz w:val="24"/>
        </w:rPr>
        <w:t>ESPREssO</w:t>
      </w:r>
      <w:proofErr w:type="spellEnd"/>
      <w:r w:rsidRPr="004D57B7">
        <w:rPr>
          <w:rFonts w:ascii="Times New Roman" w:hAnsi="Times New Roman" w:cs="Times New Roman"/>
          <w:color w:val="000000" w:themeColor="text1"/>
          <w:sz w:val="24"/>
        </w:rPr>
        <w:t xml:space="preserve"> (Enhancing Synergies for Disaster Prevention in the European Union),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4D57B7">
        <w:rPr>
          <w:rFonts w:ascii="Times New Roman" w:hAnsi="Times New Roman" w:cs="Times New Roman"/>
          <w:color w:val="000000" w:themeColor="text1"/>
          <w:sz w:val="24"/>
        </w:rPr>
        <w:t>funded by the European Commission Horizon 2020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4D57B7">
        <w:rPr>
          <w:rFonts w:ascii="Times New Roman" w:hAnsi="Times New Roman" w:cs="Times New Roman"/>
          <w:color w:val="000000" w:themeColor="text1"/>
          <w:sz w:val="24"/>
        </w:rPr>
        <w:t xml:space="preserve">programme. </w:t>
      </w:r>
      <w:r>
        <w:rPr>
          <w:rFonts w:ascii="Times New Roman" w:hAnsi="Times New Roman" w:cs="Times New Roman"/>
          <w:color w:val="000000" w:themeColor="text1"/>
          <w:sz w:val="24"/>
        </w:rPr>
        <w:t>A</w:t>
      </w:r>
      <w:r w:rsidRPr="004D57B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Pr="004D57B7">
        <w:rPr>
          <w:rFonts w:ascii="Times New Roman" w:hAnsi="Times New Roman" w:cs="Times New Roman"/>
          <w:color w:val="000000" w:themeColor="text1"/>
          <w:sz w:val="24"/>
        </w:rPr>
        <w:t>litrature</w:t>
      </w:r>
      <w:proofErr w:type="spellEnd"/>
      <w:r w:rsidRPr="004D57B7">
        <w:rPr>
          <w:rFonts w:ascii="Times New Roman" w:hAnsi="Times New Roman" w:cs="Times New Roman"/>
          <w:color w:val="000000" w:themeColor="text1"/>
          <w:sz w:val="24"/>
        </w:rPr>
        <w:t xml:space="preserve"> review and thereafter, semi-structured interviews and focus group discussions were carried out to </w:t>
      </w:r>
      <w:r>
        <w:rPr>
          <w:rFonts w:ascii="Times New Roman" w:hAnsi="Times New Roman" w:cs="Times New Roman"/>
          <w:color w:val="000000" w:themeColor="text1"/>
          <w:sz w:val="24"/>
        </w:rPr>
        <w:t>identify</w:t>
      </w:r>
      <w:r w:rsidRPr="004D57B7">
        <w:rPr>
          <w:rFonts w:ascii="Times New Roman" w:hAnsi="Times New Roman" w:cs="Times New Roman"/>
          <w:color w:val="000000" w:themeColor="text1"/>
          <w:sz w:val="24"/>
        </w:rPr>
        <w:t xml:space="preserve"> challenges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and recommendations</w:t>
      </w:r>
      <w:r w:rsidRPr="004D57B7">
        <w:rPr>
          <w:rFonts w:ascii="Times New Roman" w:hAnsi="Times New Roman" w:cs="Times New Roman"/>
          <w:color w:val="000000" w:themeColor="text1"/>
          <w:sz w:val="24"/>
        </w:rPr>
        <w:t xml:space="preserve">.   </w:t>
      </w:r>
    </w:p>
    <w:p w14:paraId="5D0A02A7" w14:textId="4B79B174" w:rsidR="00DB0CF4" w:rsidRPr="00834A5B" w:rsidRDefault="000A2487" w:rsidP="00834A5B">
      <w:pPr>
        <w:jc w:val="both"/>
      </w:pPr>
      <w:r>
        <w:rPr>
          <w:rFonts w:ascii="Times New Roman" w:hAnsi="Times New Roman" w:cs="Times New Roman"/>
          <w:sz w:val="24"/>
        </w:rPr>
        <w:t>Findings reveal a lack of capacity at local levels to be one of the m</w:t>
      </w:r>
      <w:r w:rsidR="0040330C">
        <w:rPr>
          <w:rFonts w:ascii="Times New Roman" w:hAnsi="Times New Roman" w:cs="Times New Roman"/>
          <w:sz w:val="24"/>
        </w:rPr>
        <w:t>o</w:t>
      </w:r>
      <w:r>
        <w:rPr>
          <w:rFonts w:ascii="Times New Roman" w:hAnsi="Times New Roman" w:cs="Times New Roman"/>
          <w:sz w:val="24"/>
        </w:rPr>
        <w:t xml:space="preserve">st prominent challenges to effective CCA and DRR integration in Europe. </w:t>
      </w:r>
      <w:r w:rsidR="007E30DB">
        <w:rPr>
          <w:rFonts w:ascii="Times New Roman" w:hAnsi="Times New Roman" w:cs="Times New Roman"/>
          <w:sz w:val="24"/>
        </w:rPr>
        <w:t>Although local authorities frequently have the responsibility for implementi</w:t>
      </w:r>
      <w:r>
        <w:rPr>
          <w:rFonts w:ascii="Times New Roman" w:hAnsi="Times New Roman" w:cs="Times New Roman"/>
          <w:sz w:val="24"/>
        </w:rPr>
        <w:t>ng CCA and DRR actions</w:t>
      </w:r>
      <w:r w:rsidR="007E30DB">
        <w:rPr>
          <w:rFonts w:ascii="Times New Roman" w:hAnsi="Times New Roman" w:cs="Times New Roman"/>
          <w:sz w:val="24"/>
        </w:rPr>
        <w:t>, they do not always have the capacity or knowl</w:t>
      </w:r>
      <w:r w:rsidR="007C54F0">
        <w:rPr>
          <w:rFonts w:ascii="Times New Roman" w:hAnsi="Times New Roman" w:cs="Times New Roman"/>
          <w:sz w:val="24"/>
        </w:rPr>
        <w:t>edge to manage all the principle</w:t>
      </w:r>
      <w:r w:rsidR="007E30DB">
        <w:rPr>
          <w:rFonts w:ascii="Times New Roman" w:hAnsi="Times New Roman" w:cs="Times New Roman"/>
          <w:sz w:val="24"/>
        </w:rPr>
        <w:t>s, policies an</w:t>
      </w:r>
      <w:r w:rsidR="00C6718D">
        <w:rPr>
          <w:rFonts w:ascii="Times New Roman" w:hAnsi="Times New Roman" w:cs="Times New Roman"/>
          <w:sz w:val="24"/>
        </w:rPr>
        <w:t>d practices bestowed upon them.</w:t>
      </w:r>
      <w:r w:rsidR="0000081E">
        <w:rPr>
          <w:rFonts w:ascii="Times New Roman" w:hAnsi="Times New Roman" w:cs="Times New Roman"/>
          <w:sz w:val="24"/>
        </w:rPr>
        <w:t xml:space="preserve"> </w:t>
      </w:r>
      <w:r w:rsidR="007C54F0">
        <w:rPr>
          <w:rFonts w:ascii="Times New Roman" w:hAnsi="Times New Roman" w:cs="Times New Roman"/>
          <w:sz w:val="24"/>
        </w:rPr>
        <w:t>Specific issues</w:t>
      </w:r>
      <w:r w:rsidR="006830DB">
        <w:rPr>
          <w:rFonts w:ascii="Times New Roman" w:hAnsi="Times New Roman" w:cs="Times New Roman"/>
          <w:sz w:val="24"/>
        </w:rPr>
        <w:t xml:space="preserve"> include </w:t>
      </w:r>
      <w:r w:rsidR="007C54F0">
        <w:rPr>
          <w:rFonts w:ascii="Times New Roman" w:hAnsi="Times New Roman" w:cs="Times New Roman"/>
          <w:sz w:val="24"/>
        </w:rPr>
        <w:t xml:space="preserve">a </w:t>
      </w:r>
      <w:r w:rsidR="006830DB">
        <w:rPr>
          <w:rFonts w:ascii="Times New Roman" w:hAnsi="Times New Roman" w:cs="Times New Roman"/>
          <w:sz w:val="24"/>
        </w:rPr>
        <w:t>lack of knowledge,</w:t>
      </w:r>
      <w:r w:rsidR="007C54F0">
        <w:rPr>
          <w:rFonts w:ascii="Times New Roman" w:hAnsi="Times New Roman" w:cs="Times New Roman"/>
          <w:sz w:val="24"/>
        </w:rPr>
        <w:t xml:space="preserve"> awareness and </w:t>
      </w:r>
      <w:r w:rsidR="00DF4993">
        <w:rPr>
          <w:rFonts w:ascii="Times New Roman" w:hAnsi="Times New Roman" w:cs="Times New Roman"/>
          <w:sz w:val="24"/>
        </w:rPr>
        <w:t>financing among many.</w:t>
      </w:r>
      <w:r w:rsidR="006830DB">
        <w:rPr>
          <w:rFonts w:ascii="Times New Roman" w:hAnsi="Times New Roman" w:cs="Times New Roman"/>
          <w:sz w:val="24"/>
        </w:rPr>
        <w:t xml:space="preserve"> </w:t>
      </w:r>
      <w:r w:rsidR="00C6718D">
        <w:rPr>
          <w:rFonts w:ascii="Times New Roman" w:hAnsi="Times New Roman" w:cs="Times New Roman"/>
          <w:sz w:val="24"/>
        </w:rPr>
        <w:t xml:space="preserve">A lack of horizontal and vertical coordination between levels of governance compounds these issues, resulting in a multitude of challenges which act to prevent successful CCA and DRR integration. </w:t>
      </w:r>
    </w:p>
    <w:p w14:paraId="64149B1B" w14:textId="77777777" w:rsidR="00DB0CF4" w:rsidRDefault="007F417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Sendai Framework for Disaster Risk Reduction (SFDRR) advocates the sharing of the States </w:t>
      </w:r>
      <w:r w:rsidR="00112399">
        <w:rPr>
          <w:rFonts w:ascii="Times New Roman" w:hAnsi="Times New Roman" w:cs="Times New Roman"/>
          <w:sz w:val="24"/>
        </w:rPr>
        <w:t xml:space="preserve">DRR </w:t>
      </w:r>
      <w:r>
        <w:rPr>
          <w:rFonts w:ascii="Times New Roman" w:hAnsi="Times New Roman" w:cs="Times New Roman"/>
          <w:sz w:val="24"/>
        </w:rPr>
        <w:t>responsibilities</w:t>
      </w:r>
      <w:r w:rsidR="007C54F0">
        <w:rPr>
          <w:rFonts w:ascii="Times New Roman" w:hAnsi="Times New Roman" w:cs="Times New Roman"/>
          <w:sz w:val="24"/>
        </w:rPr>
        <w:t xml:space="preserve"> with </w:t>
      </w:r>
      <w:r>
        <w:rPr>
          <w:rFonts w:ascii="Times New Roman" w:hAnsi="Times New Roman" w:cs="Times New Roman"/>
          <w:sz w:val="24"/>
        </w:rPr>
        <w:t xml:space="preserve">local government, while the Paris Agreement </w:t>
      </w:r>
      <w:r w:rsidR="00112399">
        <w:rPr>
          <w:rFonts w:ascii="Times New Roman" w:hAnsi="Times New Roman" w:cs="Times New Roman"/>
          <w:sz w:val="24"/>
        </w:rPr>
        <w:t>highlights</w:t>
      </w:r>
      <w:r>
        <w:rPr>
          <w:rFonts w:ascii="Times New Roman" w:hAnsi="Times New Roman" w:cs="Times New Roman"/>
          <w:sz w:val="24"/>
        </w:rPr>
        <w:t xml:space="preserve"> adaptation measures that are based upon indigenous and local knowledge. </w:t>
      </w:r>
      <w:r w:rsidR="0000081E">
        <w:rPr>
          <w:rFonts w:ascii="Times New Roman" w:hAnsi="Times New Roman" w:cs="Times New Roman"/>
          <w:sz w:val="24"/>
        </w:rPr>
        <w:t xml:space="preserve">Without sufficient capacity to act and a lack of coordination, </w:t>
      </w:r>
      <w:r>
        <w:rPr>
          <w:rFonts w:ascii="Times New Roman" w:hAnsi="Times New Roman" w:cs="Times New Roman"/>
          <w:sz w:val="24"/>
        </w:rPr>
        <w:t xml:space="preserve">the goals of post-2015 international agenda cannot be achieved. </w:t>
      </w:r>
    </w:p>
    <w:p w14:paraId="63452611" w14:textId="77777777" w:rsidR="00DB0CF4" w:rsidRDefault="00DB0CF4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1E461439" w14:textId="058F3DDE" w:rsidR="006830DB" w:rsidRDefault="006830DB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To overcome such challenges </w:t>
      </w:r>
      <w:r w:rsidR="00317D63">
        <w:rPr>
          <w:rFonts w:ascii="Times New Roman" w:hAnsi="Times New Roman" w:cs="Times New Roman"/>
          <w:sz w:val="24"/>
        </w:rPr>
        <w:t xml:space="preserve">several recommendations are presented, including </w:t>
      </w:r>
      <w:r>
        <w:rPr>
          <w:rFonts w:ascii="Times New Roman" w:hAnsi="Times New Roman" w:cs="Times New Roman"/>
          <w:sz w:val="24"/>
        </w:rPr>
        <w:t xml:space="preserve">resource sharing, increased involvement of local levels in decision making, </w:t>
      </w:r>
      <w:r w:rsidR="00DF4993">
        <w:rPr>
          <w:rFonts w:ascii="Times New Roman" w:hAnsi="Times New Roman" w:cs="Times New Roman"/>
          <w:sz w:val="24"/>
        </w:rPr>
        <w:t>awareness building and</w:t>
      </w:r>
      <w:r w:rsidR="006A4A2C">
        <w:rPr>
          <w:rFonts w:ascii="Times New Roman" w:hAnsi="Times New Roman" w:cs="Times New Roman"/>
          <w:sz w:val="24"/>
        </w:rPr>
        <w:t xml:space="preserve"> </w:t>
      </w:r>
      <w:r w:rsidR="00306F94">
        <w:rPr>
          <w:rFonts w:ascii="Times New Roman" w:hAnsi="Times New Roman" w:cs="Times New Roman"/>
          <w:sz w:val="24"/>
        </w:rPr>
        <w:t>en</w:t>
      </w:r>
      <w:r w:rsidR="00DF4993">
        <w:rPr>
          <w:rFonts w:ascii="Times New Roman" w:hAnsi="Times New Roman" w:cs="Times New Roman"/>
          <w:sz w:val="24"/>
        </w:rPr>
        <w:t>gagement of the private sector</w:t>
      </w:r>
      <w:r w:rsidR="00317D63">
        <w:rPr>
          <w:rFonts w:ascii="Times New Roman" w:hAnsi="Times New Roman" w:cs="Times New Roman"/>
          <w:sz w:val="24"/>
        </w:rPr>
        <w:t>,</w:t>
      </w:r>
      <w:r w:rsidR="00DF4993">
        <w:rPr>
          <w:rFonts w:ascii="Times New Roman" w:hAnsi="Times New Roman" w:cs="Times New Roman"/>
          <w:sz w:val="24"/>
        </w:rPr>
        <w:t xml:space="preserve"> </w:t>
      </w:r>
      <w:r w:rsidR="00317D63">
        <w:rPr>
          <w:rFonts w:ascii="Times New Roman" w:hAnsi="Times New Roman" w:cs="Times New Roman"/>
          <w:sz w:val="24"/>
        </w:rPr>
        <w:t xml:space="preserve">in order </w:t>
      </w:r>
      <w:r w:rsidR="00DF4993">
        <w:rPr>
          <w:rFonts w:ascii="Times New Roman" w:hAnsi="Times New Roman" w:cs="Times New Roman"/>
          <w:sz w:val="24"/>
        </w:rPr>
        <w:t xml:space="preserve">to further positive action in DRR and CCA. </w:t>
      </w:r>
    </w:p>
    <w:p w14:paraId="04897339" w14:textId="77777777"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2815FAFF" w14:textId="46B9BC33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CC6B2C">
        <w:rPr>
          <w:rFonts w:ascii="Times New Roman" w:hAnsi="Times New Roman" w:cs="Times New Roman"/>
          <w:i/>
          <w:sz w:val="24"/>
        </w:rPr>
        <w:t>Climate change adaptation, disaster risk reduction,</w:t>
      </w:r>
      <w:r w:rsidR="00DF4993">
        <w:rPr>
          <w:rFonts w:ascii="Times New Roman" w:hAnsi="Times New Roman" w:cs="Times New Roman"/>
          <w:i/>
          <w:sz w:val="24"/>
        </w:rPr>
        <w:t xml:space="preserve"> European Union,</w:t>
      </w:r>
      <w:r w:rsidR="00CC6B2C">
        <w:rPr>
          <w:rFonts w:ascii="Times New Roman" w:hAnsi="Times New Roman" w:cs="Times New Roman"/>
          <w:i/>
          <w:sz w:val="24"/>
        </w:rPr>
        <w:t xml:space="preserve"> local capacity. </w:t>
      </w:r>
    </w:p>
    <w:p w14:paraId="6E4ABF55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169983BD" w14:textId="77777777" w:rsidR="00834A5B" w:rsidRDefault="00834A5B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1A5F9FE9" w14:textId="77777777" w:rsidR="00834A5B" w:rsidRDefault="00834A5B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6186749A" w14:textId="77777777" w:rsidR="00834A5B" w:rsidRDefault="00834A5B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449B10A5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0BDA7205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5654E8C1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0E5D57BA" w14:textId="77777777" w:rsidR="00AA382C" w:rsidRPr="00B308BF" w:rsidRDefault="00AA382C" w:rsidP="00AA382C">
      <w:pPr>
        <w:pStyle w:val="HTMLPreformatted"/>
        <w:jc w:val="both"/>
        <w:rPr>
          <w:rFonts w:ascii="Times New Roman" w:hAnsi="Times New Roman" w:cs="Times New Roman"/>
          <w:iCs/>
          <w:color w:val="000000" w:themeColor="text1"/>
          <w:sz w:val="24"/>
        </w:rPr>
      </w:pPr>
      <w:r w:rsidRPr="00B308BF">
        <w:rPr>
          <w:rFonts w:ascii="Times New Roman" w:hAnsi="Times New Roman" w:cs="Times New Roman"/>
          <w:iCs/>
          <w:color w:val="000000" w:themeColor="text1"/>
          <w:sz w:val="24"/>
        </w:rPr>
        <w:t xml:space="preserve">Georgina is a Research Assistant working on the </w:t>
      </w:r>
      <w:proofErr w:type="spellStart"/>
      <w:r w:rsidRPr="00B308BF">
        <w:rPr>
          <w:rFonts w:ascii="Times New Roman" w:hAnsi="Times New Roman" w:cs="Times New Roman"/>
          <w:iCs/>
          <w:color w:val="000000" w:themeColor="text1"/>
          <w:sz w:val="24"/>
        </w:rPr>
        <w:t>ESPREssO</w:t>
      </w:r>
      <w:proofErr w:type="spellEnd"/>
      <w:r w:rsidRPr="00B308BF">
        <w:rPr>
          <w:rFonts w:ascii="Times New Roman" w:hAnsi="Times New Roman" w:cs="Times New Roman"/>
          <w:iCs/>
          <w:color w:val="000000" w:themeColor="text1"/>
          <w:sz w:val="24"/>
        </w:rPr>
        <w:t xml:space="preserve"> project (Enhancing synergies for disaster prevention in the European Union) at the Global Disaster Resilience Centre, University of Huddersfield UK. She completed a Masters in Applied Meteorology and Climatology from the University of Birmingham, a bachelor’s in Geography from the University of Sheffield, UK and has interests in natural hazards and climate change.  </w:t>
      </w:r>
    </w:p>
    <w:p w14:paraId="3FE0F508" w14:textId="77777777" w:rsidR="00B3082B" w:rsidRPr="0040330C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color w:val="FF0000"/>
          <w:sz w:val="24"/>
        </w:rPr>
      </w:pPr>
    </w:p>
    <w:p w14:paraId="34251517" w14:textId="77777777" w:rsidR="00B3082B" w:rsidRPr="0040330C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color w:val="FF0000"/>
          <w:sz w:val="24"/>
        </w:rPr>
      </w:pPr>
    </w:p>
    <w:p w14:paraId="0DA6DD63" w14:textId="2E93F45D" w:rsidR="00B3082B" w:rsidRPr="0040330C" w:rsidRDefault="00472400" w:rsidP="00B3082B">
      <w:pPr>
        <w:pStyle w:val="HTMLPreformatted"/>
        <w:jc w:val="both"/>
        <w:rPr>
          <w:rFonts w:ascii="Times New Roman" w:hAnsi="Times New Roman" w:cs="Times New Roman"/>
          <w:b/>
          <w:iCs/>
          <w:color w:val="FF0000"/>
          <w:sz w:val="24"/>
        </w:rPr>
      </w:pPr>
      <w:r>
        <w:rPr>
          <w:rFonts w:ascii="Times New Roman" w:hAnsi="Times New Roman" w:cs="Times New Roman"/>
          <w:b/>
          <w:iCs/>
          <w:noProof/>
          <w:color w:val="FF0000"/>
          <w:sz w:val="24"/>
          <w:lang w:eastAsia="en-GB"/>
        </w:rPr>
        <w:drawing>
          <wp:inline distT="0" distB="0" distL="0" distR="0" wp14:anchorId="27B0FA0E" wp14:editId="521EC560">
            <wp:extent cx="1368533" cy="1026476"/>
            <wp:effectExtent l="0" t="6667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54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 flipH="1">
                      <a:off x="0" y="0"/>
                      <a:ext cx="1478519" cy="1108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 w:rsidRPr="0040330C">
        <w:rPr>
          <w:rFonts w:ascii="Times New Roman" w:hAnsi="Times New Roman" w:cs="Times New Roman"/>
          <w:b/>
          <w:iCs/>
          <w:color w:val="FF0000"/>
          <w:sz w:val="24"/>
        </w:rPr>
        <w:br/>
      </w:r>
    </w:p>
    <w:p w14:paraId="5587E41F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67B98FA8" w14:textId="44DC9EF7" w:rsidR="002350BC" w:rsidRPr="00B95ACA" w:rsidRDefault="00B3082B" w:rsidP="00B95ACA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AA382C">
        <w:rPr>
          <w:rFonts w:ascii="Times New Roman" w:hAnsi="Times New Roman" w:cs="Times New Roman"/>
          <w:iCs/>
          <w:sz w:val="24"/>
        </w:rPr>
        <w:t xml:space="preserve"> g.clegg@hud.ac.uk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14:paraId="54C91F09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F05C8A" w14:textId="77777777" w:rsidR="007A1D26" w:rsidRDefault="007A1D26" w:rsidP="00495C76">
      <w:pPr>
        <w:spacing w:after="0" w:line="240" w:lineRule="auto"/>
      </w:pPr>
      <w:r>
        <w:separator/>
      </w:r>
    </w:p>
  </w:endnote>
  <w:endnote w:type="continuationSeparator" w:id="0">
    <w:p w14:paraId="74EC6D35" w14:textId="77777777" w:rsidR="007A1D26" w:rsidRDefault="007A1D2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412F60" w14:textId="77777777" w:rsidR="007A1D26" w:rsidRDefault="007A1D26" w:rsidP="00495C76">
      <w:pPr>
        <w:spacing w:after="0" w:line="240" w:lineRule="auto"/>
      </w:pPr>
      <w:r>
        <w:separator/>
      </w:r>
    </w:p>
  </w:footnote>
  <w:footnote w:type="continuationSeparator" w:id="0">
    <w:p w14:paraId="33A15A15" w14:textId="77777777" w:rsidR="007A1D26" w:rsidRDefault="007A1D2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CC1AF3" w14:textId="77777777" w:rsidR="00495C76" w:rsidRDefault="00495C76" w:rsidP="00495C76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3C886B41" wp14:editId="588777CD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32990B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0081E"/>
    <w:rsid w:val="00036FAE"/>
    <w:rsid w:val="000958B8"/>
    <w:rsid w:val="000A2487"/>
    <w:rsid w:val="000A4C22"/>
    <w:rsid w:val="000A6F42"/>
    <w:rsid w:val="00112399"/>
    <w:rsid w:val="001161F3"/>
    <w:rsid w:val="00195100"/>
    <w:rsid w:val="002350BC"/>
    <w:rsid w:val="0028059F"/>
    <w:rsid w:val="002F2A92"/>
    <w:rsid w:val="002F4DF0"/>
    <w:rsid w:val="00306F94"/>
    <w:rsid w:val="00317D63"/>
    <w:rsid w:val="00333E31"/>
    <w:rsid w:val="00383A0B"/>
    <w:rsid w:val="0038483D"/>
    <w:rsid w:val="0040330C"/>
    <w:rsid w:val="00435234"/>
    <w:rsid w:val="004651F1"/>
    <w:rsid w:val="00472400"/>
    <w:rsid w:val="00495C76"/>
    <w:rsid w:val="004B408F"/>
    <w:rsid w:val="004D57B7"/>
    <w:rsid w:val="005027B0"/>
    <w:rsid w:val="00604EC8"/>
    <w:rsid w:val="00627419"/>
    <w:rsid w:val="00634005"/>
    <w:rsid w:val="006830DB"/>
    <w:rsid w:val="006A4A2C"/>
    <w:rsid w:val="00702BD9"/>
    <w:rsid w:val="007A1D26"/>
    <w:rsid w:val="007B6DA1"/>
    <w:rsid w:val="007C54F0"/>
    <w:rsid w:val="007E2A55"/>
    <w:rsid w:val="007E30DB"/>
    <w:rsid w:val="007F4173"/>
    <w:rsid w:val="00813552"/>
    <w:rsid w:val="00825E47"/>
    <w:rsid w:val="00834A5B"/>
    <w:rsid w:val="00837349"/>
    <w:rsid w:val="008A130C"/>
    <w:rsid w:val="008C43F3"/>
    <w:rsid w:val="008E64E4"/>
    <w:rsid w:val="00984DEF"/>
    <w:rsid w:val="00A71C8D"/>
    <w:rsid w:val="00AA382C"/>
    <w:rsid w:val="00B3082B"/>
    <w:rsid w:val="00B461A3"/>
    <w:rsid w:val="00B6703B"/>
    <w:rsid w:val="00B86555"/>
    <w:rsid w:val="00B95ACA"/>
    <w:rsid w:val="00BA654F"/>
    <w:rsid w:val="00BC47D8"/>
    <w:rsid w:val="00C25890"/>
    <w:rsid w:val="00C41967"/>
    <w:rsid w:val="00C6718D"/>
    <w:rsid w:val="00C703CB"/>
    <w:rsid w:val="00CC6B2C"/>
    <w:rsid w:val="00CD7CBC"/>
    <w:rsid w:val="00CE511D"/>
    <w:rsid w:val="00D02B3F"/>
    <w:rsid w:val="00DB0CF4"/>
    <w:rsid w:val="00DF04E3"/>
    <w:rsid w:val="00DF4993"/>
    <w:rsid w:val="00EA5B20"/>
    <w:rsid w:val="00EA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23A3FC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3400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4005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400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00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005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unhideWhenUsed/>
    <w:rsid w:val="00634005"/>
    <w:pPr>
      <w:spacing w:after="0" w:line="240" w:lineRule="auto"/>
    </w:pPr>
    <w:rPr>
      <w:sz w:val="24"/>
      <w:szCs w:val="24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34005"/>
    <w:rPr>
      <w:sz w:val="24"/>
      <w:szCs w:val="24"/>
      <w:lang w:val="en-US"/>
    </w:rPr>
  </w:style>
  <w:style w:type="character" w:styleId="EndnoteReference">
    <w:name w:val="endnote reference"/>
    <w:basedOn w:val="DefaultParagraphFont"/>
    <w:uiPriority w:val="99"/>
    <w:unhideWhenUsed/>
    <w:rsid w:val="006340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2491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Microsoft Office User</cp:lastModifiedBy>
  <cp:revision>2</cp:revision>
  <cp:lastPrinted>2018-01-18T11:57:00Z</cp:lastPrinted>
  <dcterms:created xsi:type="dcterms:W3CDTF">2018-01-25T06:51:00Z</dcterms:created>
  <dcterms:modified xsi:type="dcterms:W3CDTF">2018-01-25T06:51:00Z</dcterms:modified>
</cp:coreProperties>
</file>