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AB0" w:rsidRDefault="00CA3AB0" w:rsidP="00CA3AB0">
      <w:pPr>
        <w:bidi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Does a Single Dose of Adenosine in Epidural Space Reduce Cancer-related Neuropathic Pain? A randomized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clinical trial </w:t>
      </w:r>
    </w:p>
    <w:p w:rsidR="00CA3AB0" w:rsidRPr="00252C12" w:rsidRDefault="00745E33" w:rsidP="00745E33">
      <w:pPr>
        <w:bidi w:val="0"/>
        <w:spacing w:line="480" w:lineRule="auto"/>
        <w:rPr>
          <w:rFonts w:asciiTheme="majorBidi" w:hAnsiTheme="majorBidi" w:cstheme="majorBidi"/>
          <w:sz w:val="20"/>
          <w:szCs w:val="20"/>
          <w:vertAlign w:val="superscript"/>
        </w:rPr>
      </w:pPr>
      <w:proofErr w:type="spellStart"/>
      <w:r w:rsidRPr="00252C12">
        <w:rPr>
          <w:rFonts w:asciiTheme="majorBidi" w:hAnsiTheme="majorBidi" w:cstheme="majorBidi"/>
          <w:sz w:val="20"/>
          <w:szCs w:val="20"/>
        </w:rPr>
        <w:t>Farid</w:t>
      </w:r>
      <w:proofErr w:type="spellEnd"/>
      <w:r w:rsidRPr="00252C1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252C12">
        <w:rPr>
          <w:rFonts w:asciiTheme="majorBidi" w:hAnsiTheme="majorBidi" w:cstheme="majorBidi"/>
          <w:sz w:val="20"/>
          <w:szCs w:val="20"/>
        </w:rPr>
        <w:t>Abolhasan</w:t>
      </w:r>
      <w:proofErr w:type="spellEnd"/>
      <w:r w:rsidRPr="00252C12">
        <w:rPr>
          <w:rFonts w:asciiTheme="majorBidi" w:hAnsiTheme="majorBidi" w:cstheme="majorBidi"/>
          <w:sz w:val="20"/>
          <w:szCs w:val="20"/>
        </w:rPr>
        <w:t xml:space="preserve"> Gharehdaghi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="00CA3AB0" w:rsidRPr="00252C12">
        <w:rPr>
          <w:rFonts w:asciiTheme="majorBidi" w:hAnsiTheme="majorBidi" w:cstheme="majorBidi"/>
          <w:sz w:val="20"/>
          <w:szCs w:val="20"/>
        </w:rPr>
        <w:t>, Ehsan Shahverdi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2</w:t>
      </w:r>
      <w:proofErr w:type="gramStart"/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,3</w:t>
      </w:r>
      <w:proofErr w:type="gramEnd"/>
      <w:r w:rsidRPr="00252C12">
        <w:rPr>
          <w:rFonts w:asciiTheme="majorBidi" w:hAnsiTheme="majorBidi" w:cstheme="majorBidi"/>
          <w:sz w:val="20"/>
          <w:szCs w:val="20"/>
          <w:vertAlign w:val="superscript"/>
        </w:rPr>
        <w:t>*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="00CA3AB0" w:rsidRPr="00252C12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="00CA3AB0" w:rsidRPr="00252C12">
        <w:rPr>
          <w:rFonts w:asciiTheme="majorBidi" w:hAnsiTheme="majorBidi" w:cstheme="majorBidi"/>
          <w:sz w:val="20"/>
          <w:szCs w:val="20"/>
        </w:rPr>
        <w:t>Naghmeh</w:t>
      </w:r>
      <w:proofErr w:type="spellEnd"/>
      <w:r w:rsidR="00CA3AB0" w:rsidRPr="00252C12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CA3AB0" w:rsidRPr="00252C12">
        <w:rPr>
          <w:rFonts w:asciiTheme="majorBidi" w:hAnsiTheme="majorBidi" w:cstheme="majorBidi"/>
          <w:sz w:val="20"/>
          <w:szCs w:val="20"/>
        </w:rPr>
        <w:t>Niktoreh</w:t>
      </w:r>
      <w:proofErr w:type="spellEnd"/>
      <w:r w:rsidR="00CA3AB0" w:rsidRPr="00252C12">
        <w:rPr>
          <w:rFonts w:asciiTheme="majorBidi" w:hAnsiTheme="majorBidi" w:cstheme="majorBidi"/>
          <w:sz w:val="20"/>
          <w:szCs w:val="20"/>
        </w:rPr>
        <w:t xml:space="preserve"> Mofrad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="00CA3AB0" w:rsidRPr="00252C12">
        <w:rPr>
          <w:rFonts w:asciiTheme="majorBidi" w:hAnsiTheme="majorBidi" w:cstheme="majorBidi"/>
          <w:sz w:val="20"/>
          <w:szCs w:val="20"/>
        </w:rPr>
        <w:t xml:space="preserve">, Mohammad </w:t>
      </w:r>
      <w:proofErr w:type="spellStart"/>
      <w:r w:rsidR="00CA3AB0" w:rsidRPr="00252C12">
        <w:rPr>
          <w:rFonts w:asciiTheme="majorBidi" w:hAnsiTheme="majorBidi" w:cstheme="majorBidi"/>
          <w:sz w:val="20"/>
          <w:szCs w:val="20"/>
        </w:rPr>
        <w:t>Faranoush</w:t>
      </w:r>
      <w:proofErr w:type="spellEnd"/>
      <w:r w:rsidR="00CA3AB0" w:rsidRPr="00252C12">
        <w:rPr>
          <w:rFonts w:asciiTheme="majorBidi" w:hAnsiTheme="majorBidi" w:cstheme="majorBidi"/>
          <w:sz w:val="20"/>
          <w:szCs w:val="20"/>
        </w:rPr>
        <w:t xml:space="preserve"> 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4</w:t>
      </w:r>
      <w:r w:rsidR="00CA3AB0" w:rsidRPr="00252C12">
        <w:rPr>
          <w:rFonts w:asciiTheme="majorBidi" w:hAnsiTheme="majorBidi" w:cstheme="majorBidi"/>
          <w:sz w:val="20"/>
          <w:szCs w:val="20"/>
        </w:rPr>
        <w:t>, Abbas Ebadi</w:t>
      </w:r>
      <w:r w:rsidR="00CA3AB0" w:rsidRPr="00252C12">
        <w:rPr>
          <w:rFonts w:asciiTheme="majorBidi" w:hAnsiTheme="majorBidi" w:cstheme="majorBidi"/>
          <w:sz w:val="20"/>
          <w:szCs w:val="20"/>
          <w:vertAlign w:val="superscript"/>
        </w:rPr>
        <w:t>5</w:t>
      </w:r>
    </w:p>
    <w:p w:rsidR="00CA3AB0" w:rsidRPr="00252C12" w:rsidRDefault="00CA3AB0" w:rsidP="00CA3AB0">
      <w:pPr>
        <w:pStyle w:val="ListParagraph"/>
        <w:numPr>
          <w:ilvl w:val="0"/>
          <w:numId w:val="1"/>
        </w:numPr>
        <w:spacing w:line="360" w:lineRule="auto"/>
        <w:rPr>
          <w:rStyle w:val="hps"/>
          <w:rFonts w:eastAsia="Calibri"/>
          <w:sz w:val="20"/>
          <w:szCs w:val="20"/>
          <w:lang w:val="en"/>
        </w:rPr>
      </w:pPr>
      <w:r w:rsidRPr="00252C12">
        <w:rPr>
          <w:rFonts w:asciiTheme="majorBidi" w:hAnsiTheme="majorBidi" w:cstheme="majorBidi"/>
          <w:sz w:val="20"/>
          <w:szCs w:val="20"/>
        </w:rPr>
        <w:t>Pain Department</w:t>
      </w:r>
      <w:r w:rsidRPr="00252C12">
        <w:rPr>
          <w:rFonts w:asciiTheme="majorBidi" w:hAnsiTheme="majorBidi" w:cstheme="majorBidi"/>
          <w:color w:val="231F20"/>
          <w:sz w:val="20"/>
          <w:szCs w:val="20"/>
        </w:rPr>
        <w:t>, MAHAK Pediatric Cancer Treatment and Research Center, Tehran, Iran</w:t>
      </w:r>
    </w:p>
    <w:p w:rsidR="00CA3AB0" w:rsidRPr="00252C12" w:rsidRDefault="00CA3AB0" w:rsidP="00CA3AB0">
      <w:pPr>
        <w:pStyle w:val="ListParagraph"/>
        <w:numPr>
          <w:ilvl w:val="0"/>
          <w:numId w:val="1"/>
        </w:numPr>
        <w:spacing w:line="360" w:lineRule="auto"/>
        <w:rPr>
          <w:color w:val="231F20"/>
          <w:sz w:val="20"/>
          <w:szCs w:val="20"/>
        </w:rPr>
      </w:pPr>
      <w:r w:rsidRPr="00252C12">
        <w:rPr>
          <w:rFonts w:asciiTheme="majorBidi" w:hAnsiTheme="majorBidi" w:cstheme="majorBidi"/>
          <w:color w:val="231F20"/>
          <w:sz w:val="20"/>
          <w:szCs w:val="20"/>
        </w:rPr>
        <w:t>Blood Transfusion Research Center, High Institute for Research and Education in Transfusion Medicine, Tehran, Iran</w:t>
      </w:r>
    </w:p>
    <w:p w:rsidR="00CA3AB0" w:rsidRPr="00252C12" w:rsidRDefault="00CA3AB0" w:rsidP="00CA3AB0">
      <w:pPr>
        <w:pStyle w:val="ListParagraph"/>
        <w:numPr>
          <w:ilvl w:val="0"/>
          <w:numId w:val="1"/>
        </w:numPr>
        <w:spacing w:line="360" w:lineRule="auto"/>
        <w:rPr>
          <w:rStyle w:val="hps"/>
          <w:rFonts w:eastAsia="Calibri"/>
          <w:sz w:val="20"/>
          <w:szCs w:val="20"/>
          <w:lang w:val="en"/>
        </w:rPr>
      </w:pPr>
      <w:r w:rsidRPr="00252C12">
        <w:rPr>
          <w:rStyle w:val="hps"/>
          <w:rFonts w:asciiTheme="majorBidi" w:eastAsia="Calibri" w:hAnsiTheme="majorBidi" w:cstheme="majorBidi"/>
          <w:sz w:val="20"/>
          <w:szCs w:val="20"/>
          <w:lang w:val="en"/>
        </w:rPr>
        <w:t>Blood and Cancer Research Center</w:t>
      </w:r>
      <w:r w:rsidRPr="00252C12">
        <w:rPr>
          <w:rFonts w:asciiTheme="majorBidi" w:hAnsiTheme="majorBidi" w:cstheme="majorBidi"/>
          <w:color w:val="231F20"/>
          <w:sz w:val="20"/>
          <w:szCs w:val="20"/>
        </w:rPr>
        <w:t>, MAHAK Pediatric Cancer Treatment and Research Center, Tehran, Iran</w:t>
      </w:r>
    </w:p>
    <w:p w:rsidR="00CA3AB0" w:rsidRPr="00252C12" w:rsidRDefault="00CA3AB0" w:rsidP="00CA3AB0">
      <w:pPr>
        <w:pStyle w:val="ListParagraph"/>
        <w:numPr>
          <w:ilvl w:val="0"/>
          <w:numId w:val="1"/>
        </w:numPr>
        <w:spacing w:line="360" w:lineRule="auto"/>
        <w:rPr>
          <w:rStyle w:val="Emphasis"/>
          <w:i w:val="0"/>
          <w:iCs w:val="0"/>
          <w:sz w:val="20"/>
          <w:szCs w:val="20"/>
        </w:rPr>
      </w:pPr>
      <w:r w:rsidRPr="00252C12">
        <w:rPr>
          <w:rStyle w:val="Emphasis"/>
          <w:i w:val="0"/>
          <w:iCs w:val="0"/>
          <w:sz w:val="20"/>
          <w:szCs w:val="20"/>
        </w:rPr>
        <w:t>Pediatric Growth and Development Research Center, Institute of Endocrinology and Metabolism, Iran</w:t>
      </w:r>
      <w:r w:rsidRPr="00252C12">
        <w:rPr>
          <w:rStyle w:val="Emphasis"/>
          <w:sz w:val="20"/>
          <w:szCs w:val="20"/>
        </w:rPr>
        <w:t xml:space="preserve"> University of Medical Science, Tehran, Iran</w:t>
      </w:r>
    </w:p>
    <w:p w:rsidR="00CA3AB0" w:rsidRPr="00252C12" w:rsidRDefault="00252C12" w:rsidP="00CA3AB0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0"/>
          <w:szCs w:val="20"/>
        </w:rPr>
      </w:pPr>
      <w:hyperlink r:id="rId5" w:tooltip="Baqiyatallah University of Medical Sciences" w:history="1">
        <w:proofErr w:type="spellStart"/>
        <w:r w:rsidR="00CA3AB0" w:rsidRPr="00252C12">
          <w:rPr>
            <w:rStyle w:val="Hyperlink"/>
            <w:rFonts w:asciiTheme="majorBidi" w:hAnsiTheme="majorBidi" w:cstheme="majorBidi"/>
            <w:color w:val="000000" w:themeColor="text1"/>
            <w:sz w:val="20"/>
            <w:szCs w:val="20"/>
            <w:u w:val="none"/>
          </w:rPr>
          <w:t>Baqiyatallah</w:t>
        </w:r>
        <w:proofErr w:type="spellEnd"/>
        <w:r w:rsidR="00CA3AB0" w:rsidRPr="00252C12">
          <w:rPr>
            <w:rStyle w:val="Hyperlink"/>
            <w:rFonts w:asciiTheme="majorBidi" w:hAnsiTheme="majorBidi" w:cstheme="majorBidi"/>
            <w:color w:val="000000" w:themeColor="text1"/>
            <w:sz w:val="20"/>
            <w:szCs w:val="20"/>
            <w:u w:val="none"/>
          </w:rPr>
          <w:t xml:space="preserve"> University of Medical</w:t>
        </w:r>
      </w:hyperlink>
      <w:r w:rsidR="00CA3AB0" w:rsidRPr="00252C1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Sciences, Tehran, Iran</w:t>
      </w:r>
    </w:p>
    <w:p w:rsidR="00252C12" w:rsidRPr="00252C12" w:rsidRDefault="00252C12" w:rsidP="00252C12">
      <w:pPr>
        <w:bidi w:val="0"/>
        <w:jc w:val="both"/>
        <w:rPr>
          <w:i/>
          <w:iCs/>
          <w:sz w:val="20"/>
          <w:szCs w:val="20"/>
        </w:rPr>
      </w:pPr>
      <w:r w:rsidRPr="00252C12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*</w:t>
      </w:r>
      <w:r w:rsidRPr="00252C12">
        <w:rPr>
          <w:rFonts w:asciiTheme="majorBidi" w:hAnsiTheme="majorBidi" w:cstheme="majorBidi"/>
          <w:i/>
          <w:iCs/>
          <w:sz w:val="20"/>
          <w:szCs w:val="20"/>
        </w:rPr>
        <w:t>Corresponding Author</w:t>
      </w:r>
    </w:p>
    <w:p w:rsidR="00252C12" w:rsidRPr="00252C12" w:rsidRDefault="00252C12" w:rsidP="00252C12">
      <w:pPr>
        <w:bidi w:val="0"/>
        <w:spacing w:line="360" w:lineRule="auto"/>
        <w:ind w:firstLine="360"/>
        <w:rPr>
          <w:rStyle w:val="Hyperlink"/>
          <w:sz w:val="20"/>
          <w:szCs w:val="20"/>
        </w:rPr>
      </w:pPr>
      <w:r w:rsidRPr="00252C12">
        <w:rPr>
          <w:rFonts w:asciiTheme="majorBidi" w:hAnsiTheme="majorBidi" w:cstheme="majorBidi"/>
          <w:i/>
          <w:iCs/>
          <w:sz w:val="20"/>
          <w:szCs w:val="20"/>
        </w:rPr>
        <w:t>E-Mail address</w:t>
      </w:r>
      <w:r w:rsidRPr="00252C12">
        <w:rPr>
          <w:rStyle w:val="Hyperlink"/>
          <w:rFonts w:asciiTheme="majorBidi" w:hAnsiTheme="majorBidi" w:cstheme="majorBidi"/>
          <w:i/>
          <w:iCs/>
          <w:sz w:val="20"/>
          <w:szCs w:val="20"/>
        </w:rPr>
        <w:t xml:space="preserve">: </w:t>
      </w:r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>shahverdi</w:t>
      </w:r>
      <w:r w:rsidRPr="00252C12">
        <w:rPr>
          <w:rFonts w:asciiTheme="majorBidi" w:hAnsiTheme="majorBidi" w:cstheme="majorBidi"/>
          <w:i/>
          <w:iCs/>
          <w:color w:val="000000"/>
          <w:sz w:val="20"/>
          <w:szCs w:val="20"/>
          <w:u w:val="single"/>
        </w:rPr>
        <w:t>_ehsan@yahoo.com</w:t>
      </w:r>
    </w:p>
    <w:p w:rsidR="00252C12" w:rsidRPr="00252C12" w:rsidRDefault="00252C12" w:rsidP="00252C12">
      <w:pPr>
        <w:bidi w:val="0"/>
        <w:spacing w:line="360" w:lineRule="auto"/>
        <w:ind w:left="360"/>
        <w:rPr>
          <w:color w:val="440062"/>
          <w:sz w:val="20"/>
          <w:szCs w:val="20"/>
        </w:rPr>
      </w:pPr>
      <w:r w:rsidRPr="00252C12">
        <w:rPr>
          <w:rFonts w:asciiTheme="majorBidi" w:hAnsiTheme="majorBidi" w:cstheme="majorBidi"/>
          <w:i/>
          <w:iCs/>
          <w:sz w:val="20"/>
          <w:szCs w:val="20"/>
        </w:rPr>
        <w:t>Address:</w:t>
      </w:r>
      <w:r w:rsidRPr="00252C12">
        <w:rPr>
          <w:rStyle w:val="Hyperlink"/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 xml:space="preserve">Iranian Blood Transfusion Organization (IBTO) Tower, </w:t>
      </w:r>
      <w:proofErr w:type="spellStart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>Hemat</w:t>
      </w:r>
      <w:proofErr w:type="spellEnd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 xml:space="preserve"> </w:t>
      </w:r>
      <w:proofErr w:type="spellStart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>Exp.way</w:t>
      </w:r>
      <w:proofErr w:type="spellEnd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 xml:space="preserve">, </w:t>
      </w:r>
      <w:proofErr w:type="gramStart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>Tehran</w:t>
      </w:r>
      <w:proofErr w:type="gramEnd"/>
      <w:r w:rsidRPr="00252C12">
        <w:rPr>
          <w:rFonts w:asciiTheme="majorBidi" w:hAnsiTheme="majorBidi" w:cstheme="majorBidi"/>
          <w:i/>
          <w:iCs/>
          <w:sz w:val="20"/>
          <w:szCs w:val="20"/>
          <w:u w:val="single"/>
        </w:rPr>
        <w:t>, Iran</w:t>
      </w:r>
      <w:r w:rsidRPr="00252C12">
        <w:rPr>
          <w:rFonts w:asciiTheme="majorBidi" w:hAnsiTheme="majorBidi" w:cstheme="majorBidi"/>
          <w:i/>
          <w:iCs/>
          <w:sz w:val="20"/>
          <w:szCs w:val="20"/>
        </w:rPr>
        <w:br/>
        <w:t>T: +98 (21) 8860 1606</w:t>
      </w:r>
      <w:r w:rsidRPr="00252C12">
        <w:rPr>
          <w:rFonts w:asciiTheme="majorBidi" w:hAnsiTheme="majorBidi" w:cstheme="majorBidi"/>
          <w:i/>
          <w:iCs/>
          <w:sz w:val="20"/>
          <w:szCs w:val="20"/>
        </w:rPr>
        <w:br/>
        <w:t>F: +98 (21) 8821 2105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color w:val="000000" w:themeColor="text1"/>
        </w:rPr>
        <w:t>Abstract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Background</w:t>
      </w:r>
      <w:r>
        <w:rPr>
          <w:rFonts w:asciiTheme="majorBidi" w:hAnsiTheme="majorBidi" w:cstheme="majorBidi"/>
          <w:color w:val="000000" w:themeColor="text1"/>
        </w:rPr>
        <w:t xml:space="preserve">: Systemic and </w:t>
      </w:r>
      <w:proofErr w:type="spellStart"/>
      <w:r>
        <w:rPr>
          <w:rFonts w:asciiTheme="majorBidi" w:hAnsiTheme="majorBidi" w:cstheme="majorBidi"/>
          <w:color w:val="000000" w:themeColor="text1"/>
        </w:rPr>
        <w:t>intrathecal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adenosine reduces chronic neuropathic and nociceptive pain; however, the effect of adenosine epidural injection in treatment of neuropathic, cancer-related pains remains unclear. The objective of this study was to evaluate the efficacy of a single epidural administration of adenosine in alleviating chronic neuropathic pain in patients with primitive </w:t>
      </w:r>
      <w:proofErr w:type="spellStart"/>
      <w:r>
        <w:rPr>
          <w:rFonts w:asciiTheme="majorBidi" w:hAnsiTheme="majorBidi" w:cstheme="majorBidi"/>
          <w:color w:val="000000" w:themeColor="text1"/>
        </w:rPr>
        <w:t>neuroectodermal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tumors.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Materials and Methods</w:t>
      </w:r>
      <w:r>
        <w:rPr>
          <w:rFonts w:asciiTheme="majorBidi" w:hAnsiTheme="majorBidi" w:cstheme="majorBidi"/>
          <w:color w:val="000000" w:themeColor="text1"/>
        </w:rPr>
        <w:t xml:space="preserve">: In this single blind, randomized clinical trial </w:t>
      </w:r>
      <w:r>
        <w:rPr>
          <w:rFonts w:asciiTheme="majorBidi" w:hAnsiTheme="majorBidi" w:cstheme="majorBidi"/>
        </w:rPr>
        <w:t>with unique ID of IRCT2017031428878N1</w:t>
      </w:r>
      <w:r>
        <w:rPr>
          <w:rFonts w:asciiTheme="majorBidi" w:hAnsiTheme="majorBidi" w:cstheme="majorBidi"/>
          <w:color w:val="000000" w:themeColor="text1"/>
        </w:rPr>
        <w:t xml:space="preserve">, 88 patients with chronic neuropathic pain were divided into two equivalent groups. Two groups were treated with a single dose epidural administration of </w:t>
      </w:r>
      <w:proofErr w:type="spellStart"/>
      <w:r>
        <w:rPr>
          <w:rFonts w:asciiTheme="majorBidi" w:hAnsiTheme="majorBidi" w:cstheme="majorBidi"/>
          <w:color w:val="000000" w:themeColor="text1"/>
        </w:rPr>
        <w:t>ropivacaine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, 0.75ml/kg from 0.2% solution (both groups), plus adenosine, 50mcgr/kg (adenosine group), or normal saline (control group). Patients were evaluated on days 1, 2, 3, 5, 7, 10 and 14 after injection. 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lastRenderedPageBreak/>
        <w:t>Results</w:t>
      </w:r>
      <w:r>
        <w:rPr>
          <w:rFonts w:asciiTheme="majorBidi" w:hAnsiTheme="majorBidi" w:cstheme="majorBidi"/>
          <w:color w:val="000000" w:themeColor="text1"/>
        </w:rPr>
        <w:t>: Both groups showed a reduction in pain severity according to VRS (3±0.09 to 1±0.05 in adenosine, 4±0.08 to 1±0.00 in control group) and VAS (7±0.25 to 1±0.12 in adenosine, 8±0.22 to 1±0.06 in control group); however, significantly higher in control group (p&lt;0.0005). The intensity of neuropathic pain was decreased in both groups according to DN4 scores (from 5±0.23 to 1±0.04 in adenosine group) and (from 5.5±0.24 to 1±0.00 in control group) without a significant difference between two groups (p=0.19). Adenosine group had less nausea and vomiting (p&lt; 0.0005).  There was no significant difference in patient satisfaction levels between adenosine and control groups (p=0.09).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Conclusions</w:t>
      </w:r>
      <w:r>
        <w:rPr>
          <w:rFonts w:asciiTheme="majorBidi" w:hAnsiTheme="majorBidi" w:cstheme="majorBidi"/>
          <w:color w:val="000000" w:themeColor="text1"/>
        </w:rPr>
        <w:t xml:space="preserve">: administration of bolus epidural adenosine is not effective in </w:t>
      </w:r>
      <w:proofErr w:type="spellStart"/>
      <w:r>
        <w:rPr>
          <w:rFonts w:asciiTheme="majorBidi" w:hAnsiTheme="majorBidi" w:cstheme="majorBidi"/>
          <w:color w:val="000000" w:themeColor="text1"/>
        </w:rPr>
        <w:t>reducingneuropathic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pain in patients with primitive </w:t>
      </w:r>
      <w:proofErr w:type="spellStart"/>
      <w:r>
        <w:rPr>
          <w:rFonts w:asciiTheme="majorBidi" w:hAnsiTheme="majorBidi" w:cstheme="majorBidi"/>
          <w:color w:val="000000" w:themeColor="text1"/>
        </w:rPr>
        <w:t>neuroectodermal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tumors.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Keywords:</w:t>
      </w:r>
      <w:r>
        <w:rPr>
          <w:rFonts w:asciiTheme="majorBidi" w:hAnsiTheme="majorBidi" w:cstheme="majorBidi"/>
          <w:color w:val="000000" w:themeColor="text1"/>
        </w:rPr>
        <w:t xml:space="preserve">   Chronic pain, Pain management, Primitive </w:t>
      </w:r>
      <w:proofErr w:type="spellStart"/>
      <w:r>
        <w:rPr>
          <w:rFonts w:asciiTheme="majorBidi" w:hAnsiTheme="majorBidi" w:cstheme="majorBidi"/>
          <w:color w:val="000000" w:themeColor="text1"/>
        </w:rPr>
        <w:t>neuroectodermal</w:t>
      </w:r>
      <w:proofErr w:type="spellEnd"/>
      <w:r>
        <w:rPr>
          <w:rFonts w:asciiTheme="majorBidi" w:hAnsiTheme="majorBidi" w:cstheme="majorBidi"/>
          <w:color w:val="000000" w:themeColor="text1"/>
        </w:rPr>
        <w:t xml:space="preserve"> tumor, Adenosine</w:t>
      </w:r>
    </w:p>
    <w:p w:rsidR="00CA3AB0" w:rsidRDefault="00CA3AB0" w:rsidP="00CA3AB0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</w:pPr>
    </w:p>
    <w:p w:rsidR="00D2783C" w:rsidRDefault="00D2783C"/>
    <w:sectPr w:rsidR="00D27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273D6"/>
    <w:multiLevelType w:val="hybridMultilevel"/>
    <w:tmpl w:val="8A821F4E"/>
    <w:lvl w:ilvl="0" w:tplc="5336A200">
      <w:start w:val="1"/>
      <w:numFmt w:val="decimal"/>
      <w:lvlText w:val="%1-"/>
      <w:lvlJc w:val="left"/>
      <w:pPr>
        <w:ind w:left="720" w:hanging="360"/>
      </w:pPr>
      <w:rPr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51D7B"/>
    <w:multiLevelType w:val="hybridMultilevel"/>
    <w:tmpl w:val="95F8D644"/>
    <w:lvl w:ilvl="0" w:tplc="AD3669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61"/>
    <w:rsid w:val="00252C12"/>
    <w:rsid w:val="002E3F61"/>
    <w:rsid w:val="00745E33"/>
    <w:rsid w:val="00CA3AB0"/>
    <w:rsid w:val="00D2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ECA32-4770-4BF8-B6AD-331CAB14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B0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3A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3AB0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ps">
    <w:name w:val="hps"/>
    <w:rsid w:val="00CA3AB0"/>
  </w:style>
  <w:style w:type="character" w:styleId="Emphasis">
    <w:name w:val="Emphasis"/>
    <w:basedOn w:val="DefaultParagraphFont"/>
    <w:uiPriority w:val="20"/>
    <w:qFormat/>
    <w:rsid w:val="00CA3A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8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searchgate.net/institution/Baqiyatallah_University_of_Medical_Scienc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Shahverdi</dc:creator>
  <cp:keywords/>
  <dc:description/>
  <cp:lastModifiedBy>Ehsan Shahverdi</cp:lastModifiedBy>
  <cp:revision>4</cp:revision>
  <dcterms:created xsi:type="dcterms:W3CDTF">2017-11-25T11:45:00Z</dcterms:created>
  <dcterms:modified xsi:type="dcterms:W3CDTF">2017-11-25T12:05:00Z</dcterms:modified>
</cp:coreProperties>
</file>