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719" w:rsidRDefault="002B0719" w:rsidP="002B0719">
      <w:pPr>
        <w:tabs>
          <w:tab w:val="left" w:pos="5460"/>
        </w:tabs>
        <w:spacing w:line="480" w:lineRule="auto"/>
        <w:jc w:val="center"/>
        <w:rPr>
          <w:rFonts w:asciiTheme="majorBidi" w:hAnsiTheme="majorBidi" w:cstheme="majorBidi"/>
          <w:b/>
          <w:bCs/>
          <w:sz w:val="28"/>
          <w:szCs w:val="28"/>
          <w:lang w:val="en"/>
        </w:rPr>
      </w:pPr>
      <w:r>
        <w:rPr>
          <w:rFonts w:asciiTheme="majorBidi" w:hAnsiTheme="majorBidi" w:cstheme="majorBidi"/>
          <w:b/>
          <w:bCs/>
          <w:sz w:val="28"/>
          <w:szCs w:val="28"/>
          <w:lang w:val="en"/>
        </w:rPr>
        <w:t>Diagnostic value of inflammatory markers (ESR, CRP) in diabetic foot osteomyelitis; a case-control study</w:t>
      </w:r>
    </w:p>
    <w:p w:rsidR="00BB0C6E" w:rsidRPr="00BB0C6E" w:rsidRDefault="00BB0C6E" w:rsidP="00BB0C6E">
      <w:pPr>
        <w:tabs>
          <w:tab w:val="left" w:pos="5460"/>
        </w:tabs>
        <w:spacing w:line="480" w:lineRule="auto"/>
        <w:rPr>
          <w:rFonts w:asciiTheme="majorBidi" w:hAnsiTheme="majorBidi" w:cstheme="majorBidi"/>
          <w:color w:val="000000"/>
          <w:sz w:val="20"/>
          <w:szCs w:val="20"/>
        </w:rPr>
      </w:pPr>
      <w:r w:rsidRPr="00BB0C6E">
        <w:rPr>
          <w:rFonts w:asciiTheme="majorBidi" w:hAnsiTheme="majorBidi" w:cstheme="majorBidi"/>
          <w:color w:val="000000"/>
          <w:sz w:val="20"/>
          <w:szCs w:val="20"/>
        </w:rPr>
        <w:t>Ehsan Shahverdi</w:t>
      </w:r>
    </w:p>
    <w:p w:rsidR="00BB0C6E" w:rsidRPr="00BB0C6E" w:rsidRDefault="00BB0C6E" w:rsidP="005C69B0">
      <w:pPr>
        <w:pStyle w:val="ListParagraph"/>
        <w:numPr>
          <w:ilvl w:val="0"/>
          <w:numId w:val="1"/>
        </w:numPr>
        <w:jc w:val="both"/>
        <w:rPr>
          <w:rFonts w:asciiTheme="majorBidi" w:eastAsia="Calibri" w:hAnsiTheme="majorBidi" w:cstheme="majorBidi"/>
          <w:lang w:val="en"/>
        </w:rPr>
      </w:pPr>
      <w:r w:rsidRPr="00BB0C6E">
        <w:rPr>
          <w:rFonts w:asciiTheme="majorBidi" w:hAnsiTheme="majorBidi" w:cstheme="majorBidi"/>
          <w:color w:val="231F20"/>
          <w:sz w:val="20"/>
          <w:szCs w:val="20"/>
        </w:rPr>
        <w:t>Blood Transfusion Research Center, High Institute for Research and Education in Transfusion Medicine, Tehran, Iran</w:t>
      </w:r>
    </w:p>
    <w:p w:rsidR="00BB0C6E" w:rsidRPr="00BB0C6E" w:rsidRDefault="00BB0C6E" w:rsidP="005C69B0">
      <w:pPr>
        <w:pStyle w:val="ListParagraph"/>
        <w:numPr>
          <w:ilvl w:val="0"/>
          <w:numId w:val="1"/>
        </w:numPr>
        <w:jc w:val="both"/>
        <w:rPr>
          <w:rStyle w:val="hps"/>
          <w:rFonts w:asciiTheme="majorBidi" w:eastAsia="Calibri" w:hAnsiTheme="majorBidi" w:cstheme="majorBidi"/>
          <w:lang w:val="en"/>
        </w:rPr>
      </w:pPr>
      <w:r w:rsidRPr="00BB0C6E">
        <w:rPr>
          <w:rStyle w:val="hps"/>
          <w:rFonts w:asciiTheme="majorBidi" w:eastAsia="Calibri" w:hAnsiTheme="majorBidi" w:cstheme="majorBidi"/>
          <w:sz w:val="20"/>
          <w:szCs w:val="20"/>
          <w:lang w:val="en"/>
        </w:rPr>
        <w:t>Blood and Cancer Research Center</w:t>
      </w:r>
      <w:r w:rsidRPr="00BB0C6E">
        <w:rPr>
          <w:rFonts w:asciiTheme="majorBidi" w:hAnsiTheme="majorBidi" w:cstheme="majorBidi"/>
          <w:color w:val="231F20"/>
          <w:sz w:val="20"/>
          <w:szCs w:val="20"/>
        </w:rPr>
        <w:t>, MAHAK Pediatric Cancer Treatment and Research Center, Tehran, Iran</w:t>
      </w:r>
    </w:p>
    <w:p w:rsidR="00BB0C6E" w:rsidRPr="00122BE3" w:rsidRDefault="00BB0C6E" w:rsidP="00BB0C6E">
      <w:pPr>
        <w:jc w:val="both"/>
        <w:rPr>
          <w:rFonts w:asciiTheme="majorBidi" w:hAnsiTheme="majorBidi" w:cstheme="majorBidi"/>
          <w:i/>
          <w:iCs/>
          <w:sz w:val="20"/>
          <w:szCs w:val="20"/>
        </w:rPr>
      </w:pPr>
      <w:r w:rsidRPr="00122BE3">
        <w:rPr>
          <w:rFonts w:asciiTheme="majorBidi" w:hAnsiTheme="majorBidi" w:cstheme="majorBidi"/>
          <w:i/>
          <w:iCs/>
          <w:sz w:val="20"/>
          <w:szCs w:val="20"/>
          <w:vertAlign w:val="superscript"/>
        </w:rPr>
        <w:t>*</w:t>
      </w:r>
      <w:r w:rsidRPr="00122BE3">
        <w:rPr>
          <w:rFonts w:asciiTheme="majorBidi" w:hAnsiTheme="majorBidi" w:cstheme="majorBidi"/>
          <w:i/>
          <w:iCs/>
          <w:sz w:val="20"/>
          <w:szCs w:val="20"/>
        </w:rPr>
        <w:t>Corresponding Author</w:t>
      </w:r>
    </w:p>
    <w:p w:rsidR="00BB0C6E" w:rsidRPr="00122BE3" w:rsidRDefault="00BB0C6E" w:rsidP="00BB0C6E">
      <w:pPr>
        <w:spacing w:line="360" w:lineRule="auto"/>
        <w:ind w:firstLine="360"/>
        <w:rPr>
          <w:rStyle w:val="Hyperlink"/>
          <w:rFonts w:asciiTheme="majorBidi" w:hAnsiTheme="majorBidi" w:cstheme="majorBidi"/>
          <w:sz w:val="20"/>
          <w:szCs w:val="20"/>
        </w:rPr>
      </w:pPr>
      <w:r w:rsidRPr="00122BE3">
        <w:rPr>
          <w:rFonts w:asciiTheme="majorBidi" w:hAnsiTheme="majorBidi" w:cstheme="majorBidi"/>
          <w:i/>
          <w:iCs/>
          <w:sz w:val="20"/>
          <w:szCs w:val="20"/>
        </w:rPr>
        <w:t>E-Mail address</w:t>
      </w:r>
      <w:r w:rsidRPr="00122BE3">
        <w:rPr>
          <w:rStyle w:val="Hyperlink"/>
          <w:rFonts w:asciiTheme="majorBidi" w:hAnsiTheme="majorBidi" w:cstheme="majorBidi"/>
          <w:i/>
          <w:iCs/>
          <w:sz w:val="20"/>
          <w:szCs w:val="20"/>
        </w:rPr>
        <w:t xml:space="preserve">: </w:t>
      </w:r>
      <w:r w:rsidRPr="00122BE3">
        <w:rPr>
          <w:rFonts w:asciiTheme="majorBidi" w:hAnsiTheme="majorBidi" w:cstheme="majorBidi"/>
          <w:i/>
          <w:iCs/>
          <w:sz w:val="20"/>
          <w:szCs w:val="20"/>
          <w:u w:val="single"/>
        </w:rPr>
        <w:t>shahverdi</w:t>
      </w:r>
      <w:r w:rsidRPr="00122BE3">
        <w:rPr>
          <w:rFonts w:asciiTheme="majorBidi" w:hAnsiTheme="majorBidi" w:cstheme="majorBidi"/>
          <w:i/>
          <w:iCs/>
          <w:color w:val="000000"/>
          <w:sz w:val="20"/>
          <w:szCs w:val="20"/>
          <w:u w:val="single"/>
        </w:rPr>
        <w:t>_ehsan@yahoo.com</w:t>
      </w:r>
    </w:p>
    <w:p w:rsidR="00BB0C6E" w:rsidRDefault="00BB0C6E" w:rsidP="00BB0C6E">
      <w:pPr>
        <w:spacing w:line="360" w:lineRule="auto"/>
        <w:ind w:left="360"/>
        <w:rPr>
          <w:color w:val="440062"/>
        </w:rPr>
      </w:pPr>
      <w:r w:rsidRPr="00122BE3">
        <w:rPr>
          <w:rFonts w:asciiTheme="majorBidi" w:hAnsiTheme="majorBidi" w:cstheme="majorBidi"/>
          <w:i/>
          <w:iCs/>
          <w:sz w:val="20"/>
          <w:szCs w:val="20"/>
        </w:rPr>
        <w:t>Address:</w:t>
      </w:r>
      <w:r w:rsidRPr="00122BE3">
        <w:rPr>
          <w:rStyle w:val="Hyperlink"/>
          <w:rFonts w:asciiTheme="majorBidi" w:hAnsiTheme="majorBidi" w:cstheme="majorBidi"/>
          <w:i/>
          <w:iCs/>
          <w:sz w:val="20"/>
          <w:szCs w:val="20"/>
        </w:rPr>
        <w:t xml:space="preserve"> </w:t>
      </w:r>
      <w:r w:rsidRPr="00054011">
        <w:rPr>
          <w:rFonts w:asciiTheme="majorBidi" w:hAnsiTheme="majorBidi" w:cstheme="majorBidi"/>
          <w:i/>
          <w:iCs/>
          <w:sz w:val="20"/>
          <w:szCs w:val="20"/>
          <w:u w:val="single"/>
        </w:rPr>
        <w:t xml:space="preserve">Iranian Blood Transfusion Organization (IBTO) Tower, </w:t>
      </w:r>
      <w:proofErr w:type="spellStart"/>
      <w:r w:rsidRPr="00054011">
        <w:rPr>
          <w:rFonts w:asciiTheme="majorBidi" w:hAnsiTheme="majorBidi" w:cstheme="majorBidi"/>
          <w:i/>
          <w:iCs/>
          <w:sz w:val="20"/>
          <w:szCs w:val="20"/>
          <w:u w:val="single"/>
        </w:rPr>
        <w:t>Hemat</w:t>
      </w:r>
      <w:proofErr w:type="spellEnd"/>
      <w:r w:rsidRPr="00054011">
        <w:rPr>
          <w:rFonts w:asciiTheme="majorBidi" w:hAnsiTheme="majorBidi" w:cstheme="majorBidi"/>
          <w:i/>
          <w:iCs/>
          <w:sz w:val="20"/>
          <w:szCs w:val="20"/>
          <w:u w:val="single"/>
        </w:rPr>
        <w:t xml:space="preserve"> </w:t>
      </w:r>
      <w:proofErr w:type="spellStart"/>
      <w:r w:rsidRPr="00054011">
        <w:rPr>
          <w:rFonts w:asciiTheme="majorBidi" w:hAnsiTheme="majorBidi" w:cstheme="majorBidi"/>
          <w:i/>
          <w:iCs/>
          <w:sz w:val="20"/>
          <w:szCs w:val="20"/>
          <w:u w:val="single"/>
        </w:rPr>
        <w:t>Exp.way</w:t>
      </w:r>
      <w:proofErr w:type="spellEnd"/>
      <w:r>
        <w:rPr>
          <w:rFonts w:asciiTheme="majorBidi" w:hAnsiTheme="majorBidi" w:cstheme="majorBidi"/>
          <w:i/>
          <w:iCs/>
          <w:sz w:val="20"/>
          <w:szCs w:val="20"/>
          <w:u w:val="single"/>
        </w:rPr>
        <w:t xml:space="preserve">, </w:t>
      </w:r>
      <w:proofErr w:type="gramStart"/>
      <w:r>
        <w:rPr>
          <w:rFonts w:asciiTheme="majorBidi" w:hAnsiTheme="majorBidi" w:cstheme="majorBidi"/>
          <w:i/>
          <w:iCs/>
          <w:sz w:val="20"/>
          <w:szCs w:val="20"/>
          <w:u w:val="single"/>
        </w:rPr>
        <w:t>Tehran</w:t>
      </w:r>
      <w:proofErr w:type="gramEnd"/>
      <w:r w:rsidRPr="00054011">
        <w:rPr>
          <w:rFonts w:asciiTheme="majorBidi" w:hAnsiTheme="majorBidi" w:cstheme="majorBidi"/>
          <w:i/>
          <w:iCs/>
          <w:sz w:val="20"/>
          <w:szCs w:val="20"/>
          <w:u w:val="single"/>
        </w:rPr>
        <w:t>, Iran</w:t>
      </w:r>
      <w:r w:rsidRPr="00054011">
        <w:rPr>
          <w:rFonts w:asciiTheme="majorBidi" w:hAnsiTheme="majorBidi" w:cstheme="majorBidi"/>
          <w:i/>
          <w:iCs/>
          <w:sz w:val="20"/>
          <w:szCs w:val="20"/>
        </w:rPr>
        <w:br/>
        <w:t>T:</w:t>
      </w:r>
      <w:r>
        <w:rPr>
          <w:rFonts w:asciiTheme="majorBidi" w:hAnsiTheme="majorBidi" w:cstheme="majorBidi"/>
          <w:i/>
          <w:iCs/>
          <w:sz w:val="20"/>
          <w:szCs w:val="20"/>
        </w:rPr>
        <w:t xml:space="preserve"> </w:t>
      </w:r>
      <w:r w:rsidRPr="00054011">
        <w:rPr>
          <w:rFonts w:asciiTheme="majorBidi" w:hAnsiTheme="majorBidi" w:cstheme="majorBidi"/>
          <w:i/>
          <w:iCs/>
          <w:sz w:val="20"/>
          <w:szCs w:val="20"/>
        </w:rPr>
        <w:t>+98 (21) 8860 1606</w:t>
      </w:r>
      <w:r w:rsidRPr="00054011">
        <w:rPr>
          <w:rFonts w:asciiTheme="majorBidi" w:hAnsiTheme="majorBidi" w:cstheme="majorBidi"/>
          <w:i/>
          <w:iCs/>
          <w:sz w:val="20"/>
          <w:szCs w:val="20"/>
        </w:rPr>
        <w:br/>
        <w:t>F:</w:t>
      </w:r>
      <w:r>
        <w:rPr>
          <w:rFonts w:asciiTheme="majorBidi" w:hAnsiTheme="majorBidi" w:cstheme="majorBidi"/>
          <w:i/>
          <w:iCs/>
          <w:sz w:val="20"/>
          <w:szCs w:val="20"/>
        </w:rPr>
        <w:t xml:space="preserve"> </w:t>
      </w:r>
      <w:r w:rsidRPr="00054011">
        <w:rPr>
          <w:rFonts w:asciiTheme="majorBidi" w:hAnsiTheme="majorBidi" w:cstheme="majorBidi"/>
          <w:i/>
          <w:iCs/>
          <w:sz w:val="20"/>
          <w:szCs w:val="20"/>
        </w:rPr>
        <w:t>+98 (21) 8821 2105</w:t>
      </w:r>
    </w:p>
    <w:p w:rsidR="002B0719" w:rsidRDefault="002B0719" w:rsidP="002B0719">
      <w:pPr>
        <w:tabs>
          <w:tab w:val="left" w:pos="5460"/>
        </w:tabs>
        <w:spacing w:line="480" w:lineRule="auto"/>
        <w:rPr>
          <w:rFonts w:ascii="Times New Roman" w:hAnsi="Times New Roman" w:cs="B Nazanin"/>
          <w:b/>
          <w:bCs/>
          <w:color w:val="000000"/>
        </w:rPr>
      </w:pPr>
      <w:bookmarkStart w:id="0" w:name="_GoBack"/>
      <w:bookmarkEnd w:id="0"/>
      <w:r>
        <w:rPr>
          <w:rFonts w:ascii="Times New Roman" w:hAnsi="Times New Roman" w:cs="B Nazanin"/>
          <w:b/>
          <w:bCs/>
          <w:color w:val="000000"/>
        </w:rPr>
        <w:t>Abstract</w:t>
      </w:r>
    </w:p>
    <w:p w:rsidR="002B0719" w:rsidRDefault="002B0719" w:rsidP="002B0719">
      <w:pPr>
        <w:tabs>
          <w:tab w:val="left" w:pos="5460"/>
        </w:tabs>
        <w:spacing w:line="360" w:lineRule="auto"/>
        <w:jc w:val="both"/>
        <w:rPr>
          <w:rFonts w:ascii="Times New Roman" w:hAnsi="Times New Roman" w:cs="B Nazanin"/>
          <w:color w:val="000000"/>
        </w:rPr>
      </w:pPr>
      <w:r>
        <w:rPr>
          <w:rFonts w:ascii="Times New Roman" w:hAnsi="Times New Roman" w:cs="B Nazanin"/>
          <w:b/>
          <w:bCs/>
          <w:color w:val="000000"/>
        </w:rPr>
        <w:t>Background and aim:</w:t>
      </w:r>
      <w:r>
        <w:rPr>
          <w:rFonts w:ascii="Times New Roman" w:hAnsi="Times New Roman" w:cs="B Nazanin"/>
          <w:color w:val="000000"/>
        </w:rPr>
        <w:t xml:space="preserve"> Diabetic foot is the most common infectious complication in diabetic patients that requires hospitalization and surgical interventions, affecting one in ten patients with diabetes. Osteomyelitis is one of the complications of diabetic foot infection that can be diagnosed by radiography, isotope scan, MRI and CT scan; however, these diagnostic modalities are costly and are not always accessible. Hence, the present study aimed to evaluate the diagnostic value of inflammatory markers (ESR, CRP) in detection of osteomyelitis in patients with diabetic foot referring to the emergency department or endocrinology, infectious and surgery clinics at </w:t>
      </w:r>
      <w:proofErr w:type="spellStart"/>
      <w:r>
        <w:rPr>
          <w:rFonts w:ascii="Times New Roman" w:hAnsi="Times New Roman" w:cs="B Nazanin"/>
          <w:color w:val="000000"/>
        </w:rPr>
        <w:t>Shohadaye</w:t>
      </w:r>
      <w:proofErr w:type="spellEnd"/>
      <w:r>
        <w:rPr>
          <w:rFonts w:ascii="Times New Roman" w:hAnsi="Times New Roman" w:cs="B Nazanin"/>
          <w:color w:val="000000"/>
        </w:rPr>
        <w:t xml:space="preserve"> </w:t>
      </w:r>
      <w:proofErr w:type="spellStart"/>
      <w:r>
        <w:rPr>
          <w:rFonts w:ascii="Times New Roman" w:hAnsi="Times New Roman" w:cs="B Nazanin"/>
          <w:color w:val="000000"/>
        </w:rPr>
        <w:t>Tajrish</w:t>
      </w:r>
      <w:proofErr w:type="spellEnd"/>
      <w:r>
        <w:rPr>
          <w:rFonts w:ascii="Times New Roman" w:hAnsi="Times New Roman" w:cs="B Nazanin"/>
          <w:color w:val="000000"/>
        </w:rPr>
        <w:t xml:space="preserve"> Hospital.</w:t>
      </w:r>
    </w:p>
    <w:p w:rsidR="002B0719" w:rsidRDefault="002B0719" w:rsidP="002B0719">
      <w:pPr>
        <w:tabs>
          <w:tab w:val="left" w:pos="5460"/>
        </w:tabs>
        <w:spacing w:line="360" w:lineRule="auto"/>
        <w:jc w:val="both"/>
        <w:rPr>
          <w:rFonts w:ascii="Times New Roman" w:hAnsi="Times New Roman" w:cs="B Nazanin"/>
          <w:color w:val="000000"/>
        </w:rPr>
      </w:pPr>
      <w:r>
        <w:rPr>
          <w:rFonts w:ascii="Times New Roman" w:hAnsi="Times New Roman" w:cs="B Nazanin"/>
          <w:b/>
          <w:bCs/>
          <w:color w:val="000000"/>
        </w:rPr>
        <w:t xml:space="preserve">Materials and Methods: </w:t>
      </w:r>
      <w:r>
        <w:rPr>
          <w:rFonts w:ascii="Times New Roman" w:hAnsi="Times New Roman" w:cs="B Nazanin"/>
          <w:color w:val="000000"/>
        </w:rPr>
        <w:t xml:space="preserve">In this </w:t>
      </w:r>
      <w:r>
        <w:rPr>
          <w:rFonts w:asciiTheme="majorBidi" w:hAnsiTheme="majorBidi" w:cstheme="majorBidi"/>
        </w:rPr>
        <w:t>case-control study</w:t>
      </w:r>
      <w:r>
        <w:rPr>
          <w:rFonts w:ascii="Times New Roman" w:hAnsi="Times New Roman" w:cs="B Nazanin"/>
          <w:color w:val="000000"/>
        </w:rPr>
        <w:t xml:space="preserve">, participants were categorized into two groups of </w:t>
      </w:r>
      <w:proofErr w:type="gramStart"/>
      <w:r>
        <w:rPr>
          <w:rFonts w:ascii="Times New Roman" w:hAnsi="Times New Roman" w:cs="B Nazanin"/>
          <w:color w:val="000000"/>
        </w:rPr>
        <w:t>patients</w:t>
      </w:r>
      <w:proofErr w:type="gramEnd"/>
      <w:r>
        <w:rPr>
          <w:rFonts w:ascii="Times New Roman" w:hAnsi="Times New Roman" w:cs="B Nazanin"/>
          <w:color w:val="000000"/>
        </w:rPr>
        <w:t xml:space="preserve"> with and without diabetic foot and osteomyelitis. In order to measure the serum level of ESR and CRP along with white blood cell (WBC) count, venous blood was drawn from the patients. Gathered data were entered into statistical software and the diagnostic value of these markers were assessed through calculation of area under the ROC curve, sensitivity, specificity, positive predictive value and negative predictive value.</w:t>
      </w:r>
    </w:p>
    <w:p w:rsidR="002B0719" w:rsidRDefault="002B0719" w:rsidP="002B0719">
      <w:pPr>
        <w:tabs>
          <w:tab w:val="left" w:pos="5460"/>
        </w:tabs>
        <w:spacing w:line="360" w:lineRule="auto"/>
        <w:jc w:val="both"/>
        <w:rPr>
          <w:rFonts w:ascii="Times New Roman" w:hAnsi="Times New Roman" w:cs="B Nazanin"/>
          <w:color w:val="000000"/>
        </w:rPr>
      </w:pPr>
      <w:r>
        <w:rPr>
          <w:rFonts w:ascii="Times New Roman" w:hAnsi="Times New Roman" w:cs="B Nazanin"/>
          <w:b/>
          <w:bCs/>
          <w:color w:val="000000"/>
        </w:rPr>
        <w:t xml:space="preserve">Results: </w:t>
      </w:r>
      <w:r>
        <w:rPr>
          <w:rFonts w:ascii="Times New Roman" w:hAnsi="Times New Roman" w:cs="B Nazanin"/>
          <w:color w:val="000000"/>
        </w:rPr>
        <w:t>The findings of this study showed that ESR and CRP have relatively favorable diagnostic values for detection of osteomyelitis. Sensitivity and specificity of ESR was calculated to be 74.6% and 57.7% and these figures for CRP were found to be 76.0% and 54.9%, respectively. A combination of an ESR≥49, a CRP≥35 and a WBC≥8500 increased the diagnostic value.</w:t>
      </w:r>
    </w:p>
    <w:p w:rsidR="002B0719" w:rsidRDefault="002B0719" w:rsidP="002B0719">
      <w:pPr>
        <w:tabs>
          <w:tab w:val="left" w:pos="5460"/>
        </w:tabs>
        <w:spacing w:line="360" w:lineRule="auto"/>
        <w:jc w:val="both"/>
        <w:rPr>
          <w:rFonts w:ascii="Times New Roman" w:hAnsi="Times New Roman" w:cs="B Nazanin"/>
          <w:color w:val="000000"/>
        </w:rPr>
      </w:pPr>
      <w:r>
        <w:rPr>
          <w:rFonts w:ascii="Times New Roman" w:hAnsi="Times New Roman" w:cs="B Nazanin"/>
          <w:b/>
          <w:bCs/>
          <w:color w:val="000000"/>
        </w:rPr>
        <w:lastRenderedPageBreak/>
        <w:t xml:space="preserve">Conclusion: </w:t>
      </w:r>
      <w:r>
        <w:rPr>
          <w:rFonts w:ascii="Times New Roman" w:hAnsi="Times New Roman" w:cs="B Nazanin"/>
          <w:color w:val="000000"/>
        </w:rPr>
        <w:t xml:space="preserve">The results of the present study showed that inflammatory markers have relatively favorable diagnostic values for osteomyelitis, which can be improved by combining them together. </w:t>
      </w:r>
    </w:p>
    <w:p w:rsidR="002B0719" w:rsidRDefault="002B0719" w:rsidP="002B0719">
      <w:pPr>
        <w:tabs>
          <w:tab w:val="left" w:pos="5460"/>
        </w:tabs>
        <w:spacing w:line="480" w:lineRule="auto"/>
        <w:rPr>
          <w:rFonts w:ascii="Times New Roman" w:hAnsi="Times New Roman" w:cs="B Nazanin"/>
          <w:color w:val="000000"/>
        </w:rPr>
      </w:pPr>
      <w:r>
        <w:rPr>
          <w:rFonts w:ascii="Times New Roman" w:hAnsi="Times New Roman" w:cs="B Nazanin"/>
          <w:b/>
          <w:bCs/>
          <w:color w:val="000000"/>
        </w:rPr>
        <w:t>Keywords:</w:t>
      </w:r>
      <w:r>
        <w:rPr>
          <w:rFonts w:ascii="Times New Roman" w:hAnsi="Times New Roman" w:cs="B Nazanin"/>
          <w:color w:val="000000"/>
        </w:rPr>
        <w:t xml:space="preserve"> Diabetic foot, </w:t>
      </w:r>
      <w:r>
        <w:rPr>
          <w:rFonts w:asciiTheme="majorBidi" w:hAnsiTheme="majorBidi" w:cstheme="majorBidi"/>
          <w:color w:val="000000"/>
        </w:rPr>
        <w:t xml:space="preserve">Osteomyelitis, </w:t>
      </w:r>
      <w:r>
        <w:rPr>
          <w:rStyle w:val="highlight"/>
          <w:rFonts w:asciiTheme="majorBidi" w:hAnsiTheme="majorBidi" w:cstheme="majorBidi"/>
        </w:rPr>
        <w:t>Erythrocyte Sedimentation Rate</w:t>
      </w:r>
      <w:r>
        <w:rPr>
          <w:rFonts w:asciiTheme="majorBidi" w:hAnsiTheme="majorBidi" w:cstheme="majorBidi"/>
          <w:color w:val="000000"/>
        </w:rPr>
        <w:t xml:space="preserve">, </w:t>
      </w:r>
      <w:r>
        <w:rPr>
          <w:rFonts w:asciiTheme="majorBidi" w:hAnsiTheme="majorBidi" w:cstheme="majorBidi"/>
          <w:color w:val="231F20"/>
        </w:rPr>
        <w:t>C-reactive protein</w:t>
      </w:r>
    </w:p>
    <w:p w:rsidR="000D64A6" w:rsidRDefault="000D64A6"/>
    <w:sectPr w:rsidR="000D64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32182C"/>
    <w:multiLevelType w:val="hybridMultilevel"/>
    <w:tmpl w:val="D90ADC12"/>
    <w:lvl w:ilvl="0" w:tplc="705AB8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69D"/>
    <w:rsid w:val="000D64A6"/>
    <w:rsid w:val="002B0719"/>
    <w:rsid w:val="0036469D"/>
    <w:rsid w:val="00BB0C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AD4882-31B5-4BD1-8987-14AB3D56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071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2B0719"/>
  </w:style>
  <w:style w:type="character" w:styleId="Hyperlink">
    <w:name w:val="Hyperlink"/>
    <w:basedOn w:val="DefaultParagraphFont"/>
    <w:uiPriority w:val="99"/>
    <w:semiHidden/>
    <w:unhideWhenUsed/>
    <w:rsid w:val="00BB0C6E"/>
    <w:rPr>
      <w:color w:val="0000FF"/>
      <w:u w:val="single"/>
    </w:rPr>
  </w:style>
  <w:style w:type="character" w:customStyle="1" w:styleId="hps">
    <w:name w:val="hps"/>
    <w:rsid w:val="00BB0C6E"/>
  </w:style>
  <w:style w:type="paragraph" w:styleId="ListParagraph">
    <w:name w:val="List Paragraph"/>
    <w:basedOn w:val="Normal"/>
    <w:uiPriority w:val="34"/>
    <w:qFormat/>
    <w:rsid w:val="00BB0C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86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361</Words>
  <Characters>2063</Characters>
  <Application>Microsoft Office Word</Application>
  <DocSecurity>0</DocSecurity>
  <Lines>17</Lines>
  <Paragraphs>4</Paragraphs>
  <ScaleCrop>false</ScaleCrop>
  <Company/>
  <LinksUpToDate>false</LinksUpToDate>
  <CharactersWithSpaces>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Ehsan Shahverdi</dc:creator>
  <cp:keywords/>
  <dc:description/>
  <cp:lastModifiedBy>Ehsan Shahverdi</cp:lastModifiedBy>
  <cp:revision>3</cp:revision>
  <dcterms:created xsi:type="dcterms:W3CDTF">2017-11-25T11:43:00Z</dcterms:created>
  <dcterms:modified xsi:type="dcterms:W3CDTF">2017-11-25T12:03:00Z</dcterms:modified>
</cp:coreProperties>
</file>