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1147" w:rsidRDefault="00791147" w:rsidP="00791147">
      <w:pPr>
        <w:spacing w:line="480" w:lineRule="auto"/>
        <w:rPr>
          <w:rFonts w:asciiTheme="majorBidi" w:hAnsiTheme="majorBidi" w:cstheme="majorBidi"/>
          <w:sz w:val="24"/>
          <w:szCs w:val="24"/>
        </w:rPr>
      </w:pPr>
    </w:p>
    <w:p w:rsidR="00791147" w:rsidRPr="00430C2E" w:rsidRDefault="00791147" w:rsidP="00430C2E">
      <w:pPr>
        <w:tabs>
          <w:tab w:val="left" w:pos="1850"/>
        </w:tabs>
        <w:spacing w:line="480" w:lineRule="auto"/>
        <w:rPr>
          <w:rFonts w:asciiTheme="majorBidi" w:hAnsiTheme="majorBidi" w:cstheme="majorBidi"/>
          <w:sz w:val="24"/>
          <w:szCs w:val="24"/>
        </w:rPr>
      </w:pPr>
      <w:r>
        <w:rPr>
          <w:rFonts w:asciiTheme="majorBidi" w:hAnsiTheme="majorBidi" w:cstheme="majorBidi"/>
          <w:sz w:val="24"/>
          <w:szCs w:val="24"/>
        </w:rPr>
        <w:tab/>
      </w:r>
    </w:p>
    <w:p w:rsidR="00791147" w:rsidRPr="00430C2E" w:rsidRDefault="00791147" w:rsidP="00F72DE5">
      <w:pPr>
        <w:tabs>
          <w:tab w:val="left" w:pos="2190"/>
        </w:tabs>
        <w:spacing w:line="480" w:lineRule="auto"/>
        <w:jc w:val="center"/>
        <w:rPr>
          <w:rFonts w:asciiTheme="majorBidi" w:hAnsiTheme="majorBidi" w:cstheme="majorBidi"/>
          <w:sz w:val="24"/>
          <w:szCs w:val="24"/>
        </w:rPr>
      </w:pPr>
      <w:r w:rsidRPr="00430C2E">
        <w:rPr>
          <w:rFonts w:asciiTheme="majorBidi" w:eastAsia="Calibri" w:hAnsiTheme="majorBidi" w:cstheme="majorBidi"/>
          <w:b/>
          <w:bCs/>
          <w:sz w:val="24"/>
          <w:szCs w:val="24"/>
        </w:rPr>
        <w:t>Designing Indirect ELISA Test for Detection of Antibodies against Serotype A2013 of Foot and Mouth Disease (FMD) Virus in Cattle</w:t>
      </w:r>
    </w:p>
    <w:p w:rsidR="00D70EDB" w:rsidRPr="00D70EDB" w:rsidRDefault="00D70EDB" w:rsidP="00F32803">
      <w:pPr>
        <w:pStyle w:val="Heading1"/>
        <w:tabs>
          <w:tab w:val="center" w:pos="4773"/>
        </w:tabs>
        <w:spacing w:after="137"/>
        <w:ind w:left="-15"/>
        <w:rPr>
          <w:rFonts w:ascii="Times New Roman" w:eastAsia="Times New Roman" w:hAnsi="Times New Roman" w:cs="Times New Roman"/>
          <w:color w:val="000000"/>
          <w:sz w:val="24"/>
        </w:rPr>
      </w:pPr>
      <w:r>
        <w:rPr>
          <w:rFonts w:asciiTheme="majorBidi" w:hAnsiTheme="majorBidi"/>
          <w:sz w:val="24"/>
          <w:szCs w:val="24"/>
          <w:lang w:bidi="fa-IR"/>
        </w:rPr>
        <w:tab/>
      </w:r>
      <w:bookmarkStart w:id="0" w:name="_GoBack"/>
      <w:bookmarkEnd w:id="0"/>
      <w:r w:rsidRPr="00D70EDB">
        <w:rPr>
          <w:rFonts w:ascii="Times New Roman" w:eastAsia="Times New Roman" w:hAnsi="Times New Roman" w:cs="Times New Roman"/>
          <w:color w:val="000000"/>
          <w:sz w:val="24"/>
        </w:rPr>
        <w:t xml:space="preserve"> </w:t>
      </w:r>
    </w:p>
    <w:p w:rsidR="00D70EDB" w:rsidRPr="00D70EDB" w:rsidRDefault="00D70EDB" w:rsidP="00D70EDB">
      <w:pPr>
        <w:spacing w:after="143"/>
        <w:ind w:left="45"/>
        <w:jc w:val="center"/>
        <w:rPr>
          <w:rFonts w:ascii="Times New Roman" w:eastAsia="Times New Roman" w:hAnsi="Times New Roman" w:cs="Times New Roman"/>
          <w:color w:val="000000"/>
          <w:sz w:val="24"/>
        </w:rPr>
      </w:pPr>
      <w:r w:rsidRPr="00D70EDB">
        <w:rPr>
          <w:rFonts w:ascii="Calibri" w:eastAsia="Calibri" w:hAnsi="Calibri" w:cs="Calibri"/>
          <w:color w:val="000000"/>
        </w:rPr>
        <w:t xml:space="preserve"> </w:t>
      </w:r>
    </w:p>
    <w:p w:rsidR="00791147" w:rsidRPr="00430C2E" w:rsidRDefault="00791147" w:rsidP="00D70EDB">
      <w:pPr>
        <w:tabs>
          <w:tab w:val="left" w:pos="3040"/>
        </w:tabs>
        <w:spacing w:line="480" w:lineRule="auto"/>
        <w:rPr>
          <w:rFonts w:asciiTheme="majorBidi" w:hAnsiTheme="majorBidi" w:cstheme="majorBidi"/>
          <w:sz w:val="24"/>
          <w:szCs w:val="24"/>
          <w:rtl/>
          <w:lang w:bidi="fa-IR"/>
        </w:rPr>
      </w:pPr>
    </w:p>
    <w:p w:rsidR="00791147" w:rsidRPr="00430C2E" w:rsidRDefault="00791147" w:rsidP="00F72DE5">
      <w:pPr>
        <w:keepNext/>
        <w:keepLines/>
        <w:tabs>
          <w:tab w:val="center" w:pos="4773"/>
        </w:tabs>
        <w:spacing w:after="137" w:line="480" w:lineRule="auto"/>
        <w:ind w:left="-15"/>
        <w:outlineLvl w:val="0"/>
        <w:rPr>
          <w:rFonts w:asciiTheme="majorBidi" w:eastAsia="Times New Roman" w:hAnsiTheme="majorBidi" w:cstheme="majorBidi"/>
          <w:b/>
          <w:color w:val="000000"/>
          <w:sz w:val="24"/>
          <w:szCs w:val="24"/>
        </w:rPr>
      </w:pPr>
      <w:r w:rsidRPr="00430C2E">
        <w:rPr>
          <w:rFonts w:asciiTheme="majorBidi" w:eastAsia="Times New Roman" w:hAnsiTheme="majorBidi" w:cstheme="majorBidi"/>
          <w:b/>
          <w:color w:val="000000"/>
          <w:sz w:val="24"/>
          <w:szCs w:val="24"/>
          <w:lang w:bidi="fa-IR"/>
        </w:rPr>
        <w:tab/>
      </w:r>
      <w:r w:rsidRPr="00430C2E">
        <w:rPr>
          <w:rFonts w:asciiTheme="majorBidi" w:eastAsia="Times New Roman" w:hAnsiTheme="majorBidi" w:cstheme="majorBidi"/>
          <w:b/>
          <w:color w:val="000000"/>
          <w:sz w:val="24"/>
          <w:szCs w:val="24"/>
        </w:rPr>
        <w:t xml:space="preserve"> </w:t>
      </w:r>
    </w:p>
    <w:p w:rsidR="00791147" w:rsidRPr="00430C2E" w:rsidRDefault="00791147" w:rsidP="00F72DE5">
      <w:pPr>
        <w:spacing w:line="480" w:lineRule="auto"/>
        <w:rPr>
          <w:rFonts w:asciiTheme="majorBidi" w:eastAsia="Calibri" w:hAnsiTheme="majorBidi" w:cstheme="majorBidi"/>
          <w:b/>
          <w:bCs/>
          <w:sz w:val="24"/>
          <w:szCs w:val="24"/>
          <w:lang w:bidi="fa-IR"/>
        </w:rPr>
      </w:pPr>
      <w:r w:rsidRPr="00430C2E">
        <w:rPr>
          <w:rFonts w:asciiTheme="majorBidi" w:eastAsia="Calibri" w:hAnsiTheme="majorBidi" w:cstheme="majorBidi"/>
          <w:b/>
          <w:bCs/>
          <w:sz w:val="24"/>
          <w:szCs w:val="24"/>
          <w:lang w:bidi="fa-IR"/>
        </w:rPr>
        <w:t xml:space="preserve">Abstract </w:t>
      </w:r>
    </w:p>
    <w:p w:rsidR="00791147" w:rsidRPr="00430C2E" w:rsidRDefault="00791147" w:rsidP="00F72DE5">
      <w:pPr>
        <w:spacing w:line="480" w:lineRule="auto"/>
        <w:jc w:val="both"/>
        <w:rPr>
          <w:rFonts w:asciiTheme="majorBidi" w:eastAsia="Calibri" w:hAnsiTheme="majorBidi" w:cstheme="majorBidi"/>
          <w:sz w:val="24"/>
          <w:szCs w:val="24"/>
          <w:lang w:bidi="fa-IR"/>
        </w:rPr>
      </w:pPr>
      <w:r w:rsidRPr="00430C2E">
        <w:rPr>
          <w:rFonts w:asciiTheme="majorBidi" w:eastAsia="Calibri" w:hAnsiTheme="majorBidi" w:cstheme="majorBidi"/>
          <w:sz w:val="24"/>
          <w:szCs w:val="24"/>
        </w:rPr>
        <w:t>Foot and Mouth Disease (FMD) Virus</w:t>
      </w:r>
      <w:r w:rsidRPr="00430C2E">
        <w:rPr>
          <w:rFonts w:asciiTheme="majorBidi" w:eastAsia="Calibri" w:hAnsiTheme="majorBidi" w:cstheme="majorBidi"/>
          <w:b/>
          <w:bCs/>
          <w:sz w:val="24"/>
          <w:szCs w:val="24"/>
        </w:rPr>
        <w:t xml:space="preserve"> </w:t>
      </w:r>
      <w:r w:rsidRPr="00430C2E">
        <w:rPr>
          <w:rFonts w:asciiTheme="majorBidi" w:eastAsia="Calibri" w:hAnsiTheme="majorBidi" w:cstheme="majorBidi"/>
          <w:sz w:val="24"/>
          <w:szCs w:val="24"/>
        </w:rPr>
        <w:t>is a contagious animal disease that causes irreparable damage to the economy of a country, including Iran where the disease is native to. Among the ways to combat FMD is vaccination and slaughter.</w:t>
      </w:r>
      <w:r w:rsidRPr="00430C2E">
        <w:rPr>
          <w:rFonts w:asciiTheme="majorBidi" w:eastAsia="Calibri" w:hAnsiTheme="majorBidi" w:cstheme="majorBidi"/>
          <w:sz w:val="24"/>
          <w:szCs w:val="24"/>
          <w:lang w:bidi="fa-IR"/>
        </w:rPr>
        <w:t xml:space="preserve"> </w:t>
      </w:r>
      <w:r w:rsidRPr="00430C2E">
        <w:rPr>
          <w:rFonts w:asciiTheme="majorBidi" w:eastAsia="Calibri" w:hAnsiTheme="majorBidi" w:cstheme="majorBidi"/>
          <w:sz w:val="24"/>
          <w:szCs w:val="24"/>
        </w:rPr>
        <w:t>Because of the specific situation of Iran, it is rather not possible to kill infected animals. Therefore, vaccination seems to be the most important way to fight the disease. The methods used to evaluate the safety and determine the titer of antibody in a serum are mainly serum neutralization test (SNT) and enzyme linked immunosorbent assay (ELISA). In this research, designing an indirect ELISA test based on</w:t>
      </w:r>
      <w:r w:rsidRPr="00430C2E">
        <w:rPr>
          <w:rFonts w:asciiTheme="majorBidi" w:eastAsia="Calibri" w:hAnsiTheme="majorBidi" w:cstheme="majorBidi"/>
          <w:sz w:val="24"/>
          <w:szCs w:val="24"/>
          <w:rtl/>
        </w:rPr>
        <w:t xml:space="preserve"> </w:t>
      </w:r>
      <w:r w:rsidRPr="00430C2E">
        <w:rPr>
          <w:rFonts w:asciiTheme="majorBidi" w:eastAsia="Calibri" w:hAnsiTheme="majorBidi" w:cstheme="majorBidi"/>
          <w:sz w:val="24"/>
          <w:szCs w:val="24"/>
        </w:rPr>
        <w:t>coating of 140</w:t>
      </w:r>
      <w:r w:rsidRPr="00430C2E">
        <w:rPr>
          <w:rFonts w:asciiTheme="majorBidi" w:eastAsia="Calibri" w:hAnsiTheme="majorBidi" w:cstheme="majorBidi"/>
          <w:sz w:val="24"/>
          <w:szCs w:val="24"/>
          <w:vertAlign w:val="subscript"/>
        </w:rPr>
        <w:t>S</w:t>
      </w:r>
      <w:r w:rsidRPr="00430C2E">
        <w:rPr>
          <w:rFonts w:asciiTheme="majorBidi" w:eastAsia="Calibri" w:hAnsiTheme="majorBidi" w:cstheme="majorBidi"/>
          <w:sz w:val="24"/>
          <w:szCs w:val="24"/>
        </w:rPr>
        <w:t xml:space="preserve"> complete viral particles makes it possible to determine antibody and following the fact that determining</w:t>
      </w:r>
      <w:r w:rsidRPr="00430C2E">
        <w:rPr>
          <w:rFonts w:asciiTheme="majorBidi" w:eastAsia="Calibri" w:hAnsiTheme="majorBidi" w:cstheme="majorBidi"/>
          <w:sz w:val="24"/>
          <w:szCs w:val="24"/>
          <w:lang w:val="en"/>
        </w:rPr>
        <w:t xml:space="preserve"> </w:t>
      </w:r>
      <w:r w:rsidRPr="00430C2E">
        <w:rPr>
          <w:rFonts w:asciiTheme="majorBidi" w:eastAsia="Calibri" w:hAnsiTheme="majorBidi" w:cstheme="majorBidi"/>
          <w:sz w:val="24"/>
          <w:szCs w:val="24"/>
        </w:rPr>
        <w:t>serotype and viral type does not require time-consuming and complex molecular tasks, including gene expression. In addition, in the event of a new epidemic, a new epidemic condition can be detected by using serum antibody method. However, coating complete viral particle leads requires virus purification as well as anti-immunoglobulin conjugate antibody testing of the same animal.</w:t>
      </w:r>
    </w:p>
    <w:p w:rsidR="00791147" w:rsidRPr="00430C2E" w:rsidRDefault="00791147" w:rsidP="00F72DE5">
      <w:pPr>
        <w:spacing w:line="480" w:lineRule="auto"/>
        <w:jc w:val="both"/>
        <w:rPr>
          <w:rFonts w:asciiTheme="majorBidi" w:eastAsia="Calibri" w:hAnsiTheme="majorBidi" w:cstheme="majorBidi"/>
          <w:sz w:val="24"/>
          <w:szCs w:val="24"/>
          <w:lang w:bidi="fa-IR"/>
        </w:rPr>
      </w:pPr>
      <w:r w:rsidRPr="00430C2E">
        <w:rPr>
          <w:rFonts w:asciiTheme="majorBidi" w:eastAsia="Calibri" w:hAnsiTheme="majorBidi" w:cstheme="majorBidi"/>
          <w:sz w:val="24"/>
          <w:szCs w:val="24"/>
        </w:rPr>
        <w:lastRenderedPageBreak/>
        <w:t>In this study, SNT test was used as a Gold Test to determine the serum antibody level and its results was compared with indirect ELISA method to determine the sensitivity and specificity of the indirect ELISA test for measuring the anti-virus antibody rate of type (A2013) FMD through ROC</w:t>
      </w:r>
      <w:r w:rsidRPr="00430C2E">
        <w:rPr>
          <w:rFonts w:asciiTheme="majorBidi" w:hAnsiTheme="majorBidi" w:cstheme="majorBidi"/>
          <w:b/>
          <w:bCs/>
          <w:sz w:val="24"/>
          <w:szCs w:val="24"/>
        </w:rPr>
        <w:t xml:space="preserve"> </w:t>
      </w:r>
      <w:r w:rsidRPr="00430C2E">
        <w:rPr>
          <w:rFonts w:asciiTheme="majorBidi" w:eastAsia="Calibri" w:hAnsiTheme="majorBidi" w:cstheme="majorBidi"/>
          <w:sz w:val="24"/>
          <w:szCs w:val="24"/>
        </w:rPr>
        <w:t>analysis, with 100% sensitivity and the specificity of 90% sensitivity, using routine formulas with 100 sensitivity and specificity of 82%. In this study, considering a cut off OD = 0.3, there was a significant difference between the vaccinated animals and the unvaccinated animals in terms of antibody level against the A2013 type. This indicates the correctness of the test and the accurate and proportional antibody detection against the under study viral types of FMD.</w:t>
      </w:r>
    </w:p>
    <w:p w:rsidR="00791147" w:rsidRPr="00430C2E" w:rsidRDefault="00791147" w:rsidP="00F72DE5">
      <w:pPr>
        <w:spacing w:after="0" w:line="480" w:lineRule="auto"/>
        <w:rPr>
          <w:rFonts w:asciiTheme="majorBidi" w:eastAsia="Times New Roman" w:hAnsiTheme="majorBidi" w:cstheme="majorBidi"/>
          <w:sz w:val="24"/>
          <w:szCs w:val="24"/>
        </w:rPr>
      </w:pPr>
    </w:p>
    <w:p w:rsidR="00791147" w:rsidRPr="00430C2E" w:rsidRDefault="00791147" w:rsidP="00F72DE5">
      <w:pPr>
        <w:spacing w:after="0" w:line="480" w:lineRule="auto"/>
        <w:rPr>
          <w:rFonts w:asciiTheme="majorBidi" w:eastAsia="Calibri" w:hAnsiTheme="majorBidi" w:cstheme="majorBidi"/>
          <w:sz w:val="24"/>
          <w:szCs w:val="24"/>
        </w:rPr>
      </w:pPr>
      <w:r w:rsidRPr="00430C2E">
        <w:rPr>
          <w:rFonts w:asciiTheme="majorBidi" w:eastAsia="Calibri" w:hAnsiTheme="majorBidi" w:cstheme="majorBidi"/>
          <w:b/>
          <w:bCs/>
          <w:sz w:val="24"/>
          <w:szCs w:val="24"/>
        </w:rPr>
        <w:t>Key words:</w:t>
      </w:r>
      <w:r w:rsidRPr="00430C2E">
        <w:rPr>
          <w:rFonts w:asciiTheme="majorBidi" w:eastAsia="Calibri" w:hAnsiTheme="majorBidi" w:cstheme="majorBidi"/>
          <w:sz w:val="24"/>
          <w:szCs w:val="24"/>
        </w:rPr>
        <w:t xml:space="preserve"> Cattle, Foot and mouth disease, ELISA, SNT, Antibody, cut off</w:t>
      </w:r>
    </w:p>
    <w:p w:rsidR="00791147" w:rsidRPr="00430C2E" w:rsidRDefault="00791147" w:rsidP="00F72DE5">
      <w:pPr>
        <w:spacing w:after="0" w:line="480" w:lineRule="auto"/>
        <w:rPr>
          <w:rFonts w:asciiTheme="majorBidi" w:eastAsia="Calibri" w:hAnsiTheme="majorBidi" w:cstheme="majorBidi"/>
          <w:sz w:val="24"/>
          <w:szCs w:val="24"/>
        </w:rPr>
      </w:pPr>
    </w:p>
    <w:p w:rsidR="00791147" w:rsidRPr="00430C2E" w:rsidRDefault="00791147" w:rsidP="00F72DE5">
      <w:pPr>
        <w:spacing w:line="480" w:lineRule="auto"/>
        <w:jc w:val="both"/>
        <w:rPr>
          <w:rFonts w:asciiTheme="majorBidi" w:eastAsia="Calibri" w:hAnsiTheme="majorBidi" w:cstheme="majorBidi"/>
          <w:b/>
          <w:bCs/>
          <w:sz w:val="24"/>
          <w:szCs w:val="24"/>
          <w:lang w:bidi="fa-IR"/>
        </w:rPr>
      </w:pPr>
      <w:r w:rsidRPr="00430C2E">
        <w:rPr>
          <w:rFonts w:asciiTheme="majorBidi" w:eastAsia="Calibri" w:hAnsiTheme="majorBidi" w:cstheme="majorBidi"/>
          <w:b/>
          <w:bCs/>
          <w:sz w:val="24"/>
          <w:szCs w:val="24"/>
          <w:lang w:bidi="fa-IR"/>
        </w:rPr>
        <w:t>Introduction</w:t>
      </w:r>
    </w:p>
    <w:p w:rsidR="00791147" w:rsidRPr="00430C2E" w:rsidRDefault="00791147"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FMD is a highly contagious livestock disease which is one of the main barriers to provision of the health services and production of livestock, as well as livestock products in the country. Almost all the hoof paired livestock, including the ruminant species are the target of the disease virus</w:t>
      </w:r>
      <w:r w:rsidR="002C5CB6" w:rsidRPr="00430C2E">
        <w:rPr>
          <w:rFonts w:asciiTheme="majorBidi" w:eastAsia="Calibri" w:hAnsiTheme="majorBidi" w:cstheme="majorBidi"/>
          <w:sz w:val="24"/>
          <w:szCs w:val="24"/>
        </w:rPr>
        <w:fldChar w:fldCharType="begin"/>
      </w:r>
      <w:r w:rsidR="002C5CB6" w:rsidRPr="00430C2E">
        <w:rPr>
          <w:rFonts w:asciiTheme="majorBidi" w:eastAsia="Calibri" w:hAnsiTheme="majorBidi" w:cstheme="majorBidi"/>
          <w:sz w:val="24"/>
          <w:szCs w:val="24"/>
        </w:rPr>
        <w:instrText xml:space="preserve"> ADDIN EN.CITE &lt;EndNote&gt;&lt;Cite&gt;&lt;Author&gt;Jamal&lt;/Author&gt;&lt;Year&gt;2013 &lt;/Year&gt;&lt;RecNum&gt;2&lt;/RecNum&gt;&lt;DisplayText&gt;(Jamal and Belsham 2013 )&lt;/DisplayText&gt;&lt;record&gt;&lt;rec-number&gt;2&lt;/rec-number&gt;&lt;foreign-keys&gt;&lt;key app="EN" db-id="vt2fsf0d69dvz1errz3pwr2cvv5zs9r9fprf"&gt;2&lt;/key&gt;&lt;/foreign-keys&gt;&lt;ref-type name="Journal Article"&gt;17&lt;/ref-type&gt;&lt;contributors&gt;&lt;authors&gt;&lt;author&gt;Jamal, SM&lt;/author&gt;&lt;author&gt; Belsham ,GJ&lt;/author&gt;&lt;/authors&gt;&lt;/contributors&gt;&lt;titles&gt;&lt;title&gt;Foot-and-mouth disease: past, present and future&lt;/title&gt;&lt;secondary-title&gt;Vet Res&lt;/secondary-title&gt;&lt;/titles&gt;&lt;periodical&gt;&lt;full-title&gt;Vet Res&lt;/full-title&gt;&lt;/periodical&gt;&lt;dates&gt;&lt;year&gt;2013 &lt;/year&gt;&lt;pub-dates&gt;&lt;date&gt;Dec&lt;/date&gt;&lt;/pub-dates&gt;&lt;/dates&gt;&lt;urls&gt;&lt;/urls&gt;&lt;custom2&gt;    PMC4028749&lt;/custom2&gt;&lt;electronic-resource-num&gt;10.1186/1297-9716-44-116&amp;#xD;    &lt;/electronic-resource-num&gt;&lt;/record&gt;&lt;/Cite&gt;&lt;/EndNote&gt;</w:instrText>
      </w:r>
      <w:r w:rsidR="002C5CB6" w:rsidRPr="00430C2E">
        <w:rPr>
          <w:rFonts w:asciiTheme="majorBidi" w:eastAsia="Calibri" w:hAnsiTheme="majorBidi" w:cstheme="majorBidi"/>
          <w:sz w:val="24"/>
          <w:szCs w:val="24"/>
        </w:rPr>
        <w:fldChar w:fldCharType="separate"/>
      </w:r>
      <w:r w:rsidR="002C5CB6" w:rsidRPr="00430C2E">
        <w:rPr>
          <w:rFonts w:asciiTheme="majorBidi" w:eastAsia="Calibri" w:hAnsiTheme="majorBidi" w:cstheme="majorBidi"/>
          <w:noProof/>
          <w:sz w:val="24"/>
          <w:szCs w:val="24"/>
        </w:rPr>
        <w:t>(</w:t>
      </w:r>
      <w:hyperlink w:anchor="_ENREF_2" w:tooltip="Jamal, 2013  #2" w:history="1">
        <w:r w:rsidR="006546A9" w:rsidRPr="00430C2E">
          <w:rPr>
            <w:rFonts w:asciiTheme="majorBidi" w:eastAsia="Calibri" w:hAnsiTheme="majorBidi" w:cstheme="majorBidi"/>
            <w:noProof/>
            <w:sz w:val="24"/>
            <w:szCs w:val="24"/>
          </w:rPr>
          <w:t xml:space="preserve">Jamal and Belsham 2013 </w:t>
        </w:r>
      </w:hyperlink>
      <w:r w:rsidR="002C5CB6" w:rsidRPr="00430C2E">
        <w:rPr>
          <w:rFonts w:asciiTheme="majorBidi" w:eastAsia="Calibri" w:hAnsiTheme="majorBidi" w:cstheme="majorBidi"/>
          <w:noProof/>
          <w:sz w:val="24"/>
          <w:szCs w:val="24"/>
        </w:rPr>
        <w:t>)</w:t>
      </w:r>
      <w:r w:rsidR="002C5CB6" w:rsidRPr="00430C2E">
        <w:rPr>
          <w:rFonts w:asciiTheme="majorBidi" w:eastAsia="Calibri" w:hAnsiTheme="majorBidi" w:cstheme="majorBidi"/>
          <w:sz w:val="24"/>
          <w:szCs w:val="24"/>
        </w:rPr>
        <w:fldChar w:fldCharType="end"/>
      </w:r>
      <w:r w:rsidR="002C5CB6" w:rsidRPr="00430C2E">
        <w:rPr>
          <w:rFonts w:asciiTheme="majorBidi" w:eastAsia="Calibri" w:hAnsiTheme="majorBidi" w:cstheme="majorBidi"/>
          <w:sz w:val="24"/>
          <w:szCs w:val="24"/>
        </w:rPr>
        <w:t xml:space="preserve">. </w:t>
      </w:r>
      <w:r w:rsidRPr="00430C2E">
        <w:rPr>
          <w:rFonts w:asciiTheme="majorBidi" w:eastAsia="Calibri" w:hAnsiTheme="majorBidi" w:cstheme="majorBidi"/>
          <w:sz w:val="24"/>
          <w:szCs w:val="24"/>
        </w:rPr>
        <w:t>In Iran, the three strains of Asia 1-O-A are the most prevalent virus causing FMD among them, A and O strains have been prevalent for 50 years. Among the ways to combat FMD disease is vaccination. Because of the specific situation in Iran, it is not possible to kill infected animals; hence vaccination becomes the most important way to combat the disease</w:t>
      </w:r>
      <w:r w:rsidR="002C5CB6" w:rsidRPr="00430C2E">
        <w:rPr>
          <w:rFonts w:asciiTheme="majorBidi" w:eastAsia="Calibri" w:hAnsiTheme="majorBidi" w:cstheme="majorBidi"/>
          <w:sz w:val="24"/>
          <w:szCs w:val="24"/>
        </w:rPr>
        <w:fldChar w:fldCharType="begin"/>
      </w:r>
      <w:r w:rsidR="002C5CB6" w:rsidRPr="00430C2E">
        <w:rPr>
          <w:rFonts w:asciiTheme="majorBidi" w:eastAsia="Calibri" w:hAnsiTheme="majorBidi" w:cstheme="majorBidi"/>
          <w:sz w:val="24"/>
          <w:szCs w:val="24"/>
        </w:rPr>
        <w:instrText xml:space="preserve"> ADDIN EN.CITE &lt;EndNote&gt;&lt;Cite&gt;&lt;Author&gt;Abdollahi&lt;/Author&gt;&lt;Year&gt;2004&lt;/Year&gt;&lt;RecNum&gt;1&lt;/RecNum&gt;&lt;DisplayText&gt;(Abdollahi and Meshkat 2004)&lt;/DisplayText&gt;&lt;record&gt;&lt;rec-number&gt;1&lt;/rec-number&gt;&lt;foreign-keys&gt;&lt;key app="EN" db-id="vt2fsf0d69dvz1errz3pwr2cvv5zs9r9fprf"&gt;1&lt;/key&gt;&lt;/foreign-keys&gt;&lt;ref-type name="Web Page"&gt;12&lt;/ref-type&gt;&lt;contributors&gt;&lt;authors&gt;&lt;author&gt;Abdollahi, D&lt;/author&gt;&lt;author&gt;Meshkat ,M &lt;/author&gt;&lt;/authors&gt;&lt;/contributors&gt;&lt;titles&gt;&lt;title&gt;Foot and Mouth Disease status in The Islamic Republic of Iran&lt;/title&gt;&lt;secondary-title&gt;Country report&lt;/secondary-title&gt;&lt;/titles&gt;&lt;pages&gt;Appendix 9&lt;/pages&gt;&lt;dates&gt;&lt;year&gt;2004&lt;/year&gt;&lt;/dates&gt;&lt;pub-location&gt;Iran veterinary organization&lt;/pub-location&gt;&lt;urls&gt;&lt;/urls&gt;&lt;/record&gt;&lt;/Cite&gt;&lt;/EndNote&gt;</w:instrText>
      </w:r>
      <w:r w:rsidR="002C5CB6" w:rsidRPr="00430C2E">
        <w:rPr>
          <w:rFonts w:asciiTheme="majorBidi" w:eastAsia="Calibri" w:hAnsiTheme="majorBidi" w:cstheme="majorBidi"/>
          <w:sz w:val="24"/>
          <w:szCs w:val="24"/>
        </w:rPr>
        <w:fldChar w:fldCharType="separate"/>
      </w:r>
      <w:r w:rsidR="002C5CB6" w:rsidRPr="00430C2E">
        <w:rPr>
          <w:rFonts w:asciiTheme="majorBidi" w:eastAsia="Calibri" w:hAnsiTheme="majorBidi" w:cstheme="majorBidi"/>
          <w:noProof/>
          <w:sz w:val="24"/>
          <w:szCs w:val="24"/>
        </w:rPr>
        <w:t>(</w:t>
      </w:r>
      <w:hyperlink w:anchor="_ENREF_1" w:tooltip="Abdollahi, 2004 #1" w:history="1">
        <w:r w:rsidR="006546A9" w:rsidRPr="00430C2E">
          <w:rPr>
            <w:rFonts w:asciiTheme="majorBidi" w:eastAsia="Calibri" w:hAnsiTheme="majorBidi" w:cstheme="majorBidi"/>
            <w:noProof/>
            <w:sz w:val="24"/>
            <w:szCs w:val="24"/>
          </w:rPr>
          <w:t>Abdollahi and Meshkat 2004</w:t>
        </w:r>
      </w:hyperlink>
      <w:r w:rsidR="002C5CB6" w:rsidRPr="00430C2E">
        <w:rPr>
          <w:rFonts w:asciiTheme="majorBidi" w:eastAsia="Calibri" w:hAnsiTheme="majorBidi" w:cstheme="majorBidi"/>
          <w:noProof/>
          <w:sz w:val="24"/>
          <w:szCs w:val="24"/>
        </w:rPr>
        <w:t>)</w:t>
      </w:r>
      <w:r w:rsidR="002C5CB6" w:rsidRPr="00430C2E">
        <w:rPr>
          <w:rFonts w:asciiTheme="majorBidi" w:eastAsia="Calibri" w:hAnsiTheme="majorBidi" w:cstheme="majorBidi"/>
          <w:sz w:val="24"/>
          <w:szCs w:val="24"/>
        </w:rPr>
        <w:fldChar w:fldCharType="end"/>
      </w:r>
      <w:r w:rsidRPr="00430C2E">
        <w:rPr>
          <w:rFonts w:asciiTheme="majorBidi" w:eastAsia="Calibri" w:hAnsiTheme="majorBidi" w:cstheme="majorBidi"/>
          <w:sz w:val="24"/>
          <w:szCs w:val="24"/>
        </w:rPr>
        <w:t xml:space="preserve">; and this is done by using common vaccines containing the disease. This is done with current vaccines containing common serotypes in the country. Therefore, evaluating the vaccination results and determining the immunity level of the vaccinated herd is very important. The methods used to assess the safety and determine the titer of antibody </w:t>
      </w:r>
      <w:r w:rsidRPr="00430C2E">
        <w:rPr>
          <w:rFonts w:asciiTheme="majorBidi" w:eastAsia="Calibri" w:hAnsiTheme="majorBidi" w:cstheme="majorBidi"/>
          <w:sz w:val="24"/>
          <w:szCs w:val="24"/>
        </w:rPr>
        <w:lastRenderedPageBreak/>
        <w:t>existing in the serum are mainly neutralization of ELISA tests. In cases where the diagnosis of the disease is not possible by tissue epithelium or lavender fluid due to the mildness or the aging of the disease, exhibiting the presence of specific antibodies of disease can be one way of diagnosing</w:t>
      </w:r>
      <w:r w:rsidR="00DE6879" w:rsidRPr="00430C2E">
        <w:rPr>
          <w:rFonts w:asciiTheme="majorBidi" w:eastAsia="Calibri" w:hAnsiTheme="majorBidi" w:cstheme="majorBidi"/>
          <w:sz w:val="24"/>
          <w:szCs w:val="24"/>
        </w:rPr>
        <w:fldChar w:fldCharType="begin"/>
      </w:r>
      <w:r w:rsidR="00DE6879" w:rsidRPr="00430C2E">
        <w:rPr>
          <w:rFonts w:asciiTheme="majorBidi" w:eastAsia="Calibri" w:hAnsiTheme="majorBidi" w:cstheme="majorBidi"/>
          <w:sz w:val="24"/>
          <w:szCs w:val="24"/>
        </w:rPr>
        <w:instrText xml:space="preserve"> ADDIN EN.CITE &lt;EndNote&gt;&lt;Cite&gt;&lt;Author&gt;Jamal&lt;/Author&gt;&lt;Year&gt;2013 &lt;/Year&gt;&lt;RecNum&gt;2&lt;/RecNum&gt;&lt;DisplayText&gt;(Jamal and Belsham 2013 )&lt;/DisplayText&gt;&lt;record&gt;&lt;rec-number&gt;2&lt;/rec-number&gt;&lt;foreign-keys&gt;&lt;key app="EN" db-id="vt2fsf0d69dvz1errz3pwr2cvv5zs9r9fprf"&gt;2&lt;/key&gt;&lt;/foreign-keys&gt;&lt;ref-type name="Journal Article"&gt;17&lt;/ref-type&gt;&lt;contributors&gt;&lt;authors&gt;&lt;author&gt;Jamal, SM&lt;/author&gt;&lt;author&gt; Belsham ,GJ&lt;/author&gt;&lt;/authors&gt;&lt;/contributors&gt;&lt;titles&gt;&lt;title&gt;Foot-and-mouth disease: past, present and future&lt;/title&gt;&lt;secondary-title&gt;Vet Res&lt;/secondary-title&gt;&lt;/titles&gt;&lt;periodical&gt;&lt;full-title&gt;Vet Res&lt;/full-title&gt;&lt;/periodical&gt;&lt;dates&gt;&lt;year&gt;2013 &lt;/year&gt;&lt;pub-dates&gt;&lt;date&gt;Dec&lt;/date&gt;&lt;/pub-dates&gt;&lt;/dates&gt;&lt;urls&gt;&lt;/urls&gt;&lt;custom2&gt;    PMC4028749&lt;/custom2&gt;&lt;electronic-resource-num&gt;10.1186/1297-9716-44-116&amp;#xD;    &lt;/electronic-resource-num&gt;&lt;/record&gt;&lt;/Cite&gt;&lt;/EndNote&gt;</w:instrText>
      </w:r>
      <w:r w:rsidR="00DE6879" w:rsidRPr="00430C2E">
        <w:rPr>
          <w:rFonts w:asciiTheme="majorBidi" w:eastAsia="Calibri" w:hAnsiTheme="majorBidi" w:cstheme="majorBidi"/>
          <w:sz w:val="24"/>
          <w:szCs w:val="24"/>
        </w:rPr>
        <w:fldChar w:fldCharType="separate"/>
      </w:r>
      <w:r w:rsidR="00DE6879" w:rsidRPr="00430C2E">
        <w:rPr>
          <w:rFonts w:asciiTheme="majorBidi" w:eastAsia="Calibri" w:hAnsiTheme="majorBidi" w:cstheme="majorBidi"/>
          <w:noProof/>
          <w:sz w:val="24"/>
          <w:szCs w:val="24"/>
        </w:rPr>
        <w:t>(</w:t>
      </w:r>
      <w:hyperlink w:anchor="_ENREF_2" w:tooltip="Jamal, 2013  #2" w:history="1">
        <w:r w:rsidR="006546A9" w:rsidRPr="00430C2E">
          <w:rPr>
            <w:rFonts w:asciiTheme="majorBidi" w:eastAsia="Calibri" w:hAnsiTheme="majorBidi" w:cstheme="majorBidi"/>
            <w:noProof/>
            <w:sz w:val="24"/>
            <w:szCs w:val="24"/>
          </w:rPr>
          <w:t xml:space="preserve">Jamal and Belsham 2013 </w:t>
        </w:r>
      </w:hyperlink>
      <w:r w:rsidR="00DE6879" w:rsidRPr="00430C2E">
        <w:rPr>
          <w:rFonts w:asciiTheme="majorBidi" w:eastAsia="Calibri" w:hAnsiTheme="majorBidi" w:cstheme="majorBidi"/>
          <w:noProof/>
          <w:sz w:val="24"/>
          <w:szCs w:val="24"/>
        </w:rPr>
        <w:t>)</w:t>
      </w:r>
      <w:r w:rsidR="00DE6879" w:rsidRPr="00430C2E">
        <w:rPr>
          <w:rFonts w:asciiTheme="majorBidi" w:eastAsia="Calibri" w:hAnsiTheme="majorBidi" w:cstheme="majorBidi"/>
          <w:sz w:val="24"/>
          <w:szCs w:val="24"/>
        </w:rPr>
        <w:fldChar w:fldCharType="end"/>
      </w:r>
      <w:r w:rsidRPr="00430C2E">
        <w:rPr>
          <w:rFonts w:asciiTheme="majorBidi" w:eastAsia="Calibri" w:hAnsiTheme="majorBidi" w:cstheme="majorBidi"/>
          <w:sz w:val="24"/>
          <w:szCs w:val="24"/>
        </w:rPr>
        <w:t>. ELISA test is the best and most practical method for diagnosis of antibodies and a result with high sensitivity and specificity can be obtained with less time and cost</w:t>
      </w:r>
      <w:r w:rsidR="00DE6879" w:rsidRPr="00430C2E">
        <w:rPr>
          <w:rFonts w:asciiTheme="majorBidi" w:eastAsia="Calibri" w:hAnsiTheme="majorBidi" w:cstheme="majorBidi"/>
          <w:sz w:val="24"/>
          <w:szCs w:val="24"/>
        </w:rPr>
        <w:fldChar w:fldCharType="begin"/>
      </w:r>
      <w:r w:rsidR="00DE6879" w:rsidRPr="00430C2E">
        <w:rPr>
          <w:rFonts w:asciiTheme="majorBidi" w:eastAsia="Calibri" w:hAnsiTheme="majorBidi" w:cstheme="majorBidi"/>
          <w:sz w:val="24"/>
          <w:szCs w:val="24"/>
        </w:rPr>
        <w:instrText xml:space="preserve"> ADDIN EN.CITE &lt;EndNote&gt;&lt;Cite&gt;&lt;Author&gt;Yang &lt;/Author&gt;&lt;Year&gt;2015&lt;/Year&gt;&lt;RecNum&gt;4&lt;/RecNum&gt;&lt;DisplayText&gt;(Yang , Parida  et al. 2015)&lt;/DisplayText&gt;&lt;record&gt;&lt;rec-number&gt;4&lt;/rec-number&gt;&lt;foreign-keys&gt;&lt;key app="EN" db-id="vt2fsf0d69dvz1errz3pwr2cvv5zs9r9fprf"&gt;4&lt;/key&gt;&lt;/foreign-keys&gt;&lt;ref-type name="Journal Article"&gt;17&lt;/ref-type&gt;&lt;contributors&gt;&lt;authors&gt;&lt;author&gt;Yang ,M&lt;/author&gt;&lt;author&gt; Parida ,S&lt;/author&gt;&lt;author&gt; Salo, T&lt;/author&gt;&lt;author&gt; Hole, K&lt;/author&gt;&lt;author&gt;Velazquez-Salinas, L&lt;/author&gt;&lt;author&gt; Clavijo ,A&lt;/author&gt;&lt;/authors&gt;&lt;/contributors&gt;&lt;titles&gt;&lt;title&gt;Development of a Competitive Enzyme-Linked Immunosorbent Assay for Detection of Antibodies against the 3B Protein of Foot-and-Mouth Disease Virus&lt;/title&gt;&lt;secondary-title&gt;Clin Vaccine Immunol.&lt;/secondary-title&gt;&lt;/titles&gt;&lt;periodical&gt;&lt;full-title&gt;Clin Vaccine Immunol.&lt;/full-title&gt;&lt;/periodical&gt;&lt;pages&gt;389-97&lt;/pages&gt;&lt;dates&gt;&lt;year&gt;2015&lt;/year&gt;&lt;pub-dates&gt;&lt;date&gt;Feb 4&lt;/date&gt;&lt;/pub-dates&gt;&lt;/dates&gt;&lt;urls&gt;&lt;/urls&gt;&lt;electronic-resource-num&gt;10.1128/CVI.00594-14.&lt;/electronic-resource-num&gt;&lt;/record&gt;&lt;/Cite&gt;&lt;/EndNote&gt;</w:instrText>
      </w:r>
      <w:r w:rsidR="00DE6879" w:rsidRPr="00430C2E">
        <w:rPr>
          <w:rFonts w:asciiTheme="majorBidi" w:eastAsia="Calibri" w:hAnsiTheme="majorBidi" w:cstheme="majorBidi"/>
          <w:sz w:val="24"/>
          <w:szCs w:val="24"/>
        </w:rPr>
        <w:fldChar w:fldCharType="separate"/>
      </w:r>
      <w:r w:rsidR="00DE6879" w:rsidRPr="00430C2E">
        <w:rPr>
          <w:rFonts w:asciiTheme="majorBidi" w:eastAsia="Calibri" w:hAnsiTheme="majorBidi" w:cstheme="majorBidi"/>
          <w:noProof/>
          <w:sz w:val="24"/>
          <w:szCs w:val="24"/>
        </w:rPr>
        <w:t>(</w:t>
      </w:r>
      <w:hyperlink w:anchor="_ENREF_5" w:tooltip="Yang , 2015 #4" w:history="1">
        <w:r w:rsidR="006546A9" w:rsidRPr="00430C2E">
          <w:rPr>
            <w:rFonts w:asciiTheme="majorBidi" w:eastAsia="Calibri" w:hAnsiTheme="majorBidi" w:cstheme="majorBidi"/>
            <w:noProof/>
            <w:sz w:val="24"/>
            <w:szCs w:val="24"/>
          </w:rPr>
          <w:t>Yang , Parida  et al. 2015</w:t>
        </w:r>
      </w:hyperlink>
      <w:r w:rsidR="00DE6879" w:rsidRPr="00430C2E">
        <w:rPr>
          <w:rFonts w:asciiTheme="majorBidi" w:eastAsia="Calibri" w:hAnsiTheme="majorBidi" w:cstheme="majorBidi"/>
          <w:noProof/>
          <w:sz w:val="24"/>
          <w:szCs w:val="24"/>
        </w:rPr>
        <w:t>)</w:t>
      </w:r>
      <w:r w:rsidR="00DE6879" w:rsidRPr="00430C2E">
        <w:rPr>
          <w:rFonts w:asciiTheme="majorBidi" w:eastAsia="Calibri" w:hAnsiTheme="majorBidi" w:cstheme="majorBidi"/>
          <w:sz w:val="24"/>
          <w:szCs w:val="24"/>
        </w:rPr>
        <w:fldChar w:fldCharType="end"/>
      </w:r>
      <w:r w:rsidRPr="00430C2E">
        <w:rPr>
          <w:rFonts w:asciiTheme="majorBidi" w:eastAsia="Calibri" w:hAnsiTheme="majorBidi" w:cstheme="majorBidi"/>
          <w:sz w:val="24"/>
          <w:szCs w:val="24"/>
        </w:rPr>
        <w:t>. In addition, the ELISA test not only provides the possibility of screening and conducting extensive epidemiological works</w:t>
      </w:r>
      <w:r w:rsidR="00404256" w:rsidRPr="00430C2E">
        <w:rPr>
          <w:rFonts w:asciiTheme="majorBidi" w:eastAsia="Calibri" w:hAnsiTheme="majorBidi" w:cstheme="majorBidi"/>
          <w:sz w:val="24"/>
          <w:szCs w:val="24"/>
        </w:rPr>
        <w:fldChar w:fldCharType="begin"/>
      </w:r>
      <w:r w:rsidR="00404256" w:rsidRPr="00430C2E">
        <w:rPr>
          <w:rFonts w:asciiTheme="majorBidi" w:eastAsia="Calibri" w:hAnsiTheme="majorBidi" w:cstheme="majorBidi"/>
          <w:sz w:val="24"/>
          <w:szCs w:val="24"/>
        </w:rPr>
        <w:instrText xml:space="preserve"> ADDIN EN.CITE &lt;EndNote&gt;&lt;Cite&gt;&lt;Author&gt;Abdollahi&lt;/Author&gt;&lt;Year&gt;2004&lt;/Year&gt;&lt;RecNum&gt;1&lt;/RecNum&gt;&lt;DisplayText&gt;(Abdollahi and Meshkat 2004)&lt;/DisplayText&gt;&lt;record&gt;&lt;rec-number&gt;1&lt;/rec-number&gt;&lt;foreign-keys&gt;&lt;key app="EN" db-id="vt2fsf0d69dvz1errz3pwr2cvv5zs9r9fprf"&gt;1&lt;/key&gt;&lt;/foreign-keys&gt;&lt;ref-type name="Web Page"&gt;12&lt;/ref-type&gt;&lt;contributors&gt;&lt;authors&gt;&lt;author&gt;Abdollahi, D&lt;/author&gt;&lt;author&gt;Meshkat ,M &lt;/author&gt;&lt;/authors&gt;&lt;/contributors&gt;&lt;titles&gt;&lt;title&gt;Foot and Mouth Disease status in The Islamic Republic of Iran&lt;/title&gt;&lt;secondary-title&gt;Country report&lt;/secondary-title&gt;&lt;/titles&gt;&lt;pages&gt;Appendix 9&lt;/pages&gt;&lt;dates&gt;&lt;year&gt;2004&lt;/year&gt;&lt;/dates&gt;&lt;pub-location&gt;Iran veterinary organization&lt;/pub-location&gt;&lt;urls&gt;&lt;/urls&gt;&lt;/record&gt;&lt;/Cite&gt;&lt;/EndNote&gt;</w:instrText>
      </w:r>
      <w:r w:rsidR="00404256" w:rsidRPr="00430C2E">
        <w:rPr>
          <w:rFonts w:asciiTheme="majorBidi" w:eastAsia="Calibri" w:hAnsiTheme="majorBidi" w:cstheme="majorBidi"/>
          <w:sz w:val="24"/>
          <w:szCs w:val="24"/>
        </w:rPr>
        <w:fldChar w:fldCharType="separate"/>
      </w:r>
      <w:r w:rsidR="00404256" w:rsidRPr="00430C2E">
        <w:rPr>
          <w:rFonts w:asciiTheme="majorBidi" w:eastAsia="Calibri" w:hAnsiTheme="majorBidi" w:cstheme="majorBidi"/>
          <w:noProof/>
          <w:sz w:val="24"/>
          <w:szCs w:val="24"/>
        </w:rPr>
        <w:t>(</w:t>
      </w:r>
      <w:hyperlink w:anchor="_ENREF_1" w:tooltip="Abdollahi, 2004 #1" w:history="1">
        <w:r w:rsidR="006546A9" w:rsidRPr="00430C2E">
          <w:rPr>
            <w:rFonts w:asciiTheme="majorBidi" w:eastAsia="Calibri" w:hAnsiTheme="majorBidi" w:cstheme="majorBidi"/>
            <w:noProof/>
            <w:sz w:val="24"/>
            <w:szCs w:val="24"/>
          </w:rPr>
          <w:t>Abdollahi and Meshkat 2004</w:t>
        </w:r>
      </w:hyperlink>
      <w:r w:rsidR="00404256" w:rsidRPr="00430C2E">
        <w:rPr>
          <w:rFonts w:asciiTheme="majorBidi" w:eastAsia="Calibri" w:hAnsiTheme="majorBidi" w:cstheme="majorBidi"/>
          <w:noProof/>
          <w:sz w:val="24"/>
          <w:szCs w:val="24"/>
        </w:rPr>
        <w:t>)</w:t>
      </w:r>
      <w:r w:rsidR="00404256" w:rsidRPr="00430C2E">
        <w:rPr>
          <w:rFonts w:asciiTheme="majorBidi" w:eastAsia="Calibri" w:hAnsiTheme="majorBidi" w:cstheme="majorBidi"/>
          <w:sz w:val="24"/>
          <w:szCs w:val="24"/>
        </w:rPr>
        <w:fldChar w:fldCharType="end"/>
      </w:r>
      <w:r w:rsidRPr="00430C2E">
        <w:rPr>
          <w:rFonts w:asciiTheme="majorBidi" w:eastAsia="Calibri" w:hAnsiTheme="majorBidi" w:cstheme="majorBidi"/>
          <w:sz w:val="24"/>
          <w:szCs w:val="24"/>
        </w:rPr>
        <w:t>, but also the possibility of determining serotype and subtype</w:t>
      </w:r>
      <w:r w:rsidR="00404256" w:rsidRPr="00430C2E">
        <w:rPr>
          <w:rFonts w:asciiTheme="majorBidi" w:eastAsia="Calibri" w:hAnsiTheme="majorBidi" w:cstheme="majorBidi"/>
          <w:sz w:val="24"/>
          <w:szCs w:val="24"/>
        </w:rPr>
        <w:t>.</w:t>
      </w:r>
    </w:p>
    <w:p w:rsidR="00791147" w:rsidRPr="00430C2E" w:rsidRDefault="00791147" w:rsidP="00F72DE5">
      <w:pPr>
        <w:spacing w:line="480" w:lineRule="auto"/>
        <w:jc w:val="both"/>
        <w:rPr>
          <w:rFonts w:asciiTheme="majorBidi" w:eastAsia="Calibri" w:hAnsiTheme="majorBidi" w:cstheme="majorBidi"/>
          <w:sz w:val="24"/>
          <w:szCs w:val="24"/>
          <w:lang w:bidi="fa-IR"/>
        </w:rPr>
      </w:pPr>
      <w:r w:rsidRPr="00430C2E">
        <w:rPr>
          <w:rFonts w:asciiTheme="majorBidi" w:eastAsia="Calibri" w:hAnsiTheme="majorBidi" w:cstheme="majorBidi"/>
          <w:sz w:val="24"/>
          <w:szCs w:val="24"/>
        </w:rPr>
        <w:t>Designing a simple and fast method with high sensitivity, with reliable and consistent results, accompanied with the proposed Gold test method, SN, ability of antibody detection and following the determination of serotypes and subtypes of viruses, as well as prognosis and continuous monitoring of the herd to prevent the development of an exotic virus, is one of the main goals for using ELISA method in this study</w:t>
      </w:r>
      <w:r w:rsidR="00404256" w:rsidRPr="00430C2E">
        <w:rPr>
          <w:rFonts w:asciiTheme="majorBidi" w:eastAsia="Calibri" w:hAnsiTheme="majorBidi" w:cstheme="majorBidi"/>
          <w:sz w:val="24"/>
          <w:szCs w:val="24"/>
        </w:rPr>
        <w:fldChar w:fldCharType="begin"/>
      </w:r>
      <w:r w:rsidR="00404256" w:rsidRPr="00430C2E">
        <w:rPr>
          <w:rFonts w:asciiTheme="majorBidi" w:eastAsia="Calibri" w:hAnsiTheme="majorBidi" w:cstheme="majorBidi"/>
          <w:sz w:val="24"/>
          <w:szCs w:val="24"/>
        </w:rPr>
        <w:instrText xml:space="preserve"> ADDIN EN.CITE &lt;EndNote&gt;&lt;Cite&gt;&lt;Author&gt;Oh&lt;/Author&gt;&lt;Year&gt;2005&lt;/Year&gt;&lt;RecNum&gt;3&lt;/RecNum&gt;&lt;DisplayText&gt;(Oh, Song et al. 2005)&lt;/DisplayText&gt;&lt;record&gt;&lt;rec-number&gt;3&lt;/rec-number&gt;&lt;foreign-keys&gt;&lt;key app="EN" db-id="vt2fsf0d69dvz1errz3pwr2cvv5zs9r9fprf"&gt;3&lt;/key&gt;&lt;/foreign-keys&gt;&lt;ref-type name="Journal Article"&gt;17&lt;/ref-type&gt;&lt;contributors&gt;&lt;authors&gt;&lt;author&gt;Oh, JS&lt;/author&gt;&lt;author&gt; Song, DS&lt;/author&gt;&lt;author&gt;Yang ,JS&lt;/author&gt;&lt;author&gt; Song, JY&lt;/author&gt;&lt;author&gt; Moon, HJ&lt;/author&gt;&lt;author&gt; Kim, TY&lt;/author&gt;&lt;author&gt; Park ,BK&lt;/author&gt;&lt;/authors&gt;&lt;/contributors&gt;&lt;titles&gt;&lt;title&gt;Comparison of an enzyme-linked immunosorbent assay with serum neutralization test for serodiagnosis of porcine epidemic diarrhea virus infection.&lt;/title&gt;&lt;secondary-title&gt;J Vet Sci. &lt;/secondary-title&gt;&lt;/titles&gt;&lt;periodical&gt;&lt;full-title&gt;J Vet Sci.&lt;/full-title&gt;&lt;/periodical&gt;&lt;pages&gt;349-52.&lt;/pages&gt;&lt;dates&gt;&lt;year&gt;2005&lt;/year&gt;&lt;/dates&gt;&lt;urls&gt;&lt;/urls&gt;&lt;custom2&gt;16294000&lt;/custom2&gt;&lt;/record&gt;&lt;/Cite&gt;&lt;/EndNote&gt;</w:instrText>
      </w:r>
      <w:r w:rsidR="00404256" w:rsidRPr="00430C2E">
        <w:rPr>
          <w:rFonts w:asciiTheme="majorBidi" w:eastAsia="Calibri" w:hAnsiTheme="majorBidi" w:cstheme="majorBidi"/>
          <w:sz w:val="24"/>
          <w:szCs w:val="24"/>
        </w:rPr>
        <w:fldChar w:fldCharType="separate"/>
      </w:r>
      <w:r w:rsidR="00404256" w:rsidRPr="00430C2E">
        <w:rPr>
          <w:rFonts w:asciiTheme="majorBidi" w:eastAsia="Calibri" w:hAnsiTheme="majorBidi" w:cstheme="majorBidi"/>
          <w:noProof/>
          <w:sz w:val="24"/>
          <w:szCs w:val="24"/>
        </w:rPr>
        <w:t>(</w:t>
      </w:r>
      <w:hyperlink w:anchor="_ENREF_4" w:tooltip="Oh, 2005 #3" w:history="1">
        <w:r w:rsidR="006546A9" w:rsidRPr="00430C2E">
          <w:rPr>
            <w:rFonts w:asciiTheme="majorBidi" w:eastAsia="Calibri" w:hAnsiTheme="majorBidi" w:cstheme="majorBidi"/>
            <w:noProof/>
            <w:sz w:val="24"/>
            <w:szCs w:val="24"/>
          </w:rPr>
          <w:t>Oh, Song et al. 2005</w:t>
        </w:r>
      </w:hyperlink>
      <w:r w:rsidR="00404256" w:rsidRPr="00430C2E">
        <w:rPr>
          <w:rFonts w:asciiTheme="majorBidi" w:eastAsia="Calibri" w:hAnsiTheme="majorBidi" w:cstheme="majorBidi"/>
          <w:noProof/>
          <w:sz w:val="24"/>
          <w:szCs w:val="24"/>
        </w:rPr>
        <w:t>)</w:t>
      </w:r>
      <w:r w:rsidR="00404256" w:rsidRPr="00430C2E">
        <w:rPr>
          <w:rFonts w:asciiTheme="majorBidi" w:eastAsia="Calibri" w:hAnsiTheme="majorBidi" w:cstheme="majorBidi"/>
          <w:sz w:val="24"/>
          <w:szCs w:val="24"/>
        </w:rPr>
        <w:fldChar w:fldCharType="end"/>
      </w:r>
      <w:r w:rsidRPr="00430C2E">
        <w:rPr>
          <w:rFonts w:asciiTheme="majorBidi" w:eastAsia="Calibri" w:hAnsiTheme="majorBidi" w:cstheme="majorBidi"/>
          <w:sz w:val="24"/>
          <w:szCs w:val="24"/>
        </w:rPr>
        <w:t>.</w:t>
      </w:r>
    </w:p>
    <w:p w:rsidR="00485DB3" w:rsidRPr="00430C2E" w:rsidRDefault="00485DB3" w:rsidP="00F72DE5">
      <w:pPr>
        <w:tabs>
          <w:tab w:val="left" w:pos="3360"/>
        </w:tabs>
        <w:spacing w:line="480" w:lineRule="auto"/>
        <w:rPr>
          <w:rFonts w:asciiTheme="majorBidi" w:hAnsiTheme="majorBidi" w:cstheme="majorBidi"/>
          <w:sz w:val="24"/>
          <w:szCs w:val="24"/>
        </w:rPr>
      </w:pPr>
    </w:p>
    <w:p w:rsidR="00430C2E" w:rsidRPr="00430C2E" w:rsidRDefault="00430C2E" w:rsidP="00F72DE5">
      <w:pPr>
        <w:tabs>
          <w:tab w:val="left" w:pos="2190"/>
        </w:tabs>
        <w:spacing w:line="480" w:lineRule="auto"/>
        <w:rPr>
          <w:rFonts w:asciiTheme="majorBidi" w:eastAsia="Calibri" w:hAnsiTheme="majorBidi" w:cstheme="majorBidi"/>
          <w:b/>
          <w:bCs/>
          <w:sz w:val="24"/>
          <w:szCs w:val="24"/>
          <w:lang w:bidi="fa-IR"/>
        </w:rPr>
      </w:pPr>
      <w:r w:rsidRPr="00430C2E">
        <w:rPr>
          <w:rFonts w:asciiTheme="majorBidi" w:eastAsia="Calibri" w:hAnsiTheme="majorBidi" w:cstheme="majorBidi"/>
          <w:b/>
          <w:bCs/>
          <w:sz w:val="24"/>
          <w:szCs w:val="24"/>
          <w:lang w:bidi="fa-IR"/>
        </w:rPr>
        <w:t>Materials and Methods</w:t>
      </w:r>
    </w:p>
    <w:p w:rsidR="00430C2E" w:rsidRPr="00430C2E" w:rsidRDefault="00430C2E" w:rsidP="00F72DE5">
      <w:pPr>
        <w:spacing w:line="480" w:lineRule="auto"/>
        <w:jc w:val="both"/>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Development of foot-and-mouth disease virus (FMDV), type A2013/IR</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A 48 hour cultured monolayer of IBRS-2 cell was used to develop the virus, 2 ml of the virus was added with a titer of 10</w:t>
      </w:r>
      <w:r w:rsidRPr="00430C2E">
        <w:rPr>
          <w:rFonts w:asciiTheme="majorBidi" w:eastAsia="Calibri" w:hAnsiTheme="majorBidi" w:cstheme="majorBidi"/>
          <w:sz w:val="24"/>
          <w:szCs w:val="24"/>
          <w:vertAlign w:val="superscript"/>
        </w:rPr>
        <w:t xml:space="preserve">6.5 </w:t>
      </w:r>
      <w:r w:rsidRPr="00430C2E">
        <w:rPr>
          <w:rFonts w:asciiTheme="majorBidi" w:eastAsia="Calibri" w:hAnsiTheme="majorBidi" w:cstheme="majorBidi"/>
          <w:sz w:val="24"/>
          <w:szCs w:val="24"/>
        </w:rPr>
        <w:t>to each flask. Cytopathic effect (CPE) was completed after 18 hours, and the viruses were collected. After centrifugation at 100g for 15 minutes, the viruses were initially clarified, the surface fluid layer was collected, and the sediment was removed. In the next step, the viruses were filtered through a 0.45 micron syringe filter for further clarification.</w:t>
      </w:r>
    </w:p>
    <w:p w:rsidR="00430C2E" w:rsidRPr="00430C2E" w:rsidRDefault="00430C2E" w:rsidP="00F72DE5">
      <w:pPr>
        <w:spacing w:line="480" w:lineRule="auto"/>
        <w:jc w:val="both"/>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Virus titration</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lastRenderedPageBreak/>
        <w:t>A 96-well microplate was used to determine the virus titer. For each dilution, the viruses were titrated using the statistical method of Reed and Munch.</w:t>
      </w:r>
    </w:p>
    <w:p w:rsidR="00430C2E" w:rsidRPr="00430C2E" w:rsidRDefault="00430C2E" w:rsidP="00F72DE5">
      <w:pPr>
        <w:tabs>
          <w:tab w:val="left" w:pos="2660"/>
        </w:tabs>
        <w:spacing w:line="480" w:lineRule="auto"/>
        <w:rPr>
          <w:rFonts w:asciiTheme="majorBidi" w:hAnsiTheme="majorBidi" w:cstheme="majorBidi"/>
          <w:sz w:val="24"/>
          <w:szCs w:val="24"/>
          <w:lang w:bidi="fa-IR"/>
        </w:rPr>
      </w:pPr>
    </w:p>
    <w:p w:rsidR="00430C2E" w:rsidRPr="00430C2E" w:rsidRDefault="00430C2E" w:rsidP="00F72DE5">
      <w:pPr>
        <w:spacing w:line="480" w:lineRule="auto"/>
        <w:jc w:val="both"/>
        <w:rPr>
          <w:rFonts w:asciiTheme="majorBidi" w:hAnsiTheme="majorBidi" w:cstheme="majorBidi"/>
          <w:b/>
          <w:bCs/>
          <w:sz w:val="24"/>
          <w:szCs w:val="24"/>
        </w:rPr>
      </w:pPr>
      <w:r w:rsidRPr="00430C2E">
        <w:rPr>
          <w:rFonts w:asciiTheme="majorBidi" w:hAnsiTheme="majorBidi" w:cstheme="majorBidi"/>
          <w:b/>
          <w:bCs/>
          <w:sz w:val="24"/>
          <w:szCs w:val="24"/>
        </w:rPr>
        <w:t>Inactivation of FMDV antigen, type A</w:t>
      </w:r>
      <w:r w:rsidRPr="00430C2E">
        <w:rPr>
          <w:rFonts w:asciiTheme="majorBidi" w:hAnsiTheme="majorBidi" w:cstheme="majorBidi"/>
          <w:b/>
          <w:bCs/>
          <w:sz w:val="24"/>
          <w:szCs w:val="24"/>
          <w:vertAlign w:val="subscript"/>
        </w:rPr>
        <w:t>2013</w:t>
      </w:r>
      <w:r w:rsidRPr="00430C2E">
        <w:rPr>
          <w:rFonts w:asciiTheme="majorBidi" w:hAnsiTheme="majorBidi" w:cstheme="majorBidi"/>
          <w:b/>
          <w:bCs/>
          <w:sz w:val="24"/>
          <w:szCs w:val="24"/>
        </w:rPr>
        <w:t>/IR</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Antigen was inactivated using the aziridine compound (ethyleneamine) with a concentration of 0.01% for 24 hours at a temperature of 30°C.</w:t>
      </w:r>
    </w:p>
    <w:p w:rsidR="00430C2E" w:rsidRPr="00430C2E" w:rsidRDefault="00430C2E" w:rsidP="00F72DE5">
      <w:pPr>
        <w:spacing w:line="480" w:lineRule="auto"/>
        <w:jc w:val="both"/>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Safety Test</w:t>
      </w:r>
    </w:p>
    <w:p w:rsidR="00430C2E" w:rsidRPr="00430C2E" w:rsidRDefault="00430C2E" w:rsidP="00F72DE5">
      <w:pPr>
        <w:tabs>
          <w:tab w:val="left" w:pos="2660"/>
        </w:tabs>
        <w:spacing w:line="480" w:lineRule="auto"/>
        <w:rPr>
          <w:rFonts w:asciiTheme="majorBidi" w:eastAsia="Calibri" w:hAnsiTheme="majorBidi" w:cstheme="majorBidi"/>
          <w:sz w:val="24"/>
          <w:szCs w:val="24"/>
        </w:rPr>
      </w:pPr>
      <w:r w:rsidRPr="00430C2E">
        <w:rPr>
          <w:rFonts w:asciiTheme="majorBidi" w:eastAsia="Calibri" w:hAnsiTheme="majorBidi" w:cstheme="majorBidi"/>
          <w:sz w:val="24"/>
          <w:szCs w:val="24"/>
        </w:rPr>
        <w:t>Safety test was performed to ensure that there is no live virus in the solution containing the inactivated viruses using the monolayer of IBRS-2 cell for 3 passages. If there is no CPE detected in the sample, it means complete virus inactivation.</w:t>
      </w:r>
    </w:p>
    <w:p w:rsidR="00430C2E" w:rsidRPr="00430C2E" w:rsidRDefault="00430C2E" w:rsidP="00F72DE5">
      <w:pPr>
        <w:spacing w:line="480" w:lineRule="auto"/>
        <w:jc w:val="both"/>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Purification of the inactivated viruses using sucrose cushion</w:t>
      </w:r>
    </w:p>
    <w:p w:rsidR="00430C2E" w:rsidRPr="00430C2E" w:rsidRDefault="00430C2E" w:rsidP="00F72DE5">
      <w:pPr>
        <w:spacing w:line="480" w:lineRule="auto"/>
        <w:jc w:val="both"/>
        <w:rPr>
          <w:rFonts w:asciiTheme="majorBidi" w:hAnsiTheme="majorBidi" w:cstheme="majorBidi"/>
          <w:sz w:val="24"/>
          <w:szCs w:val="24"/>
        </w:rPr>
      </w:pPr>
      <w:r w:rsidRPr="00430C2E">
        <w:rPr>
          <w:rFonts w:asciiTheme="majorBidi" w:eastAsia="Calibri" w:hAnsiTheme="majorBidi" w:cstheme="majorBidi"/>
          <w:sz w:val="24"/>
          <w:szCs w:val="24"/>
        </w:rPr>
        <w:t>A 20% sucrose cushion was used to purify the inactivated FMD viruses and remove the cellular proteins and culture medium; 3 ml of 20% sucrose was prepared and poured into an ultracentrifuge tube (a polycarbonate tube resistant to high speed centrifugation and pressure). Then, 8 ml of the viruses was gradually added to the tube (A2013). After that, the samples were centrifuged for 2 hours at 30,000 rpm (150,000 g) using a Beckman L65B centrifuge (rotor SW40) at a temperature of 6°C under negative pressure conditions.</w:t>
      </w:r>
    </w:p>
    <w:p w:rsidR="00430C2E" w:rsidRPr="00430C2E" w:rsidRDefault="00430C2E" w:rsidP="00F72DE5">
      <w:pPr>
        <w:tabs>
          <w:tab w:val="left" w:pos="2660"/>
        </w:tabs>
        <w:spacing w:line="480" w:lineRule="auto"/>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Injection</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Five ml of the A2013 antigen was subcutaneously injected into a calf at the top of the shoulder. Blood samples were taken for antibody titration 10 days after the booster injection.</w:t>
      </w:r>
    </w:p>
    <w:p w:rsidR="00430C2E" w:rsidRPr="00430C2E" w:rsidRDefault="00430C2E" w:rsidP="00F72DE5">
      <w:pPr>
        <w:spacing w:line="480" w:lineRule="auto"/>
        <w:jc w:val="both"/>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Titration of antibody using the SN method</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lastRenderedPageBreak/>
        <w:t>First of all, the serum samples were placed in a water bath at 56°C for 30 minutes in order to inactivate the complements. Then, different serum dilutions were prepared in sterile conditions, including 1/8, 1/16, 1/32, 1/64, and 1/128, respectively. The samples were poured into 6 specific wells of the 96-well plate under a biological hood. First, 175 μl of the EMEM culture medium was harvested and poured into the first well (1/8 serum dilution), and 100 μl of the culture medium was added to the next wells up to the sixth well, respectively. In the next step, 25 μl of the serum sample was added to the first well, resulting in a 1/8 dilution. Afterwards, 100 μl of the 1/8 dilution was added to the next well, resulting in a 1/16 dilution. Accordingly, 100 μl of the second well was poured into the third and the same process continued up to the sixth well, i.e. a 1/256 dilution. In this test, 1000 TCID50 of the virus (A2013) was tested for each serum dilution. The plates were placed in an incubator at 37</w:t>
      </w:r>
      <w:r w:rsidRPr="00430C2E">
        <w:rPr>
          <w:rFonts w:ascii="Cambria Math" w:eastAsia="Calibri" w:hAnsi="Cambria Math" w:cs="Cambria Math"/>
          <w:sz w:val="24"/>
          <w:szCs w:val="24"/>
        </w:rPr>
        <w:t>℃</w:t>
      </w:r>
      <w:r w:rsidRPr="00430C2E">
        <w:rPr>
          <w:rFonts w:asciiTheme="majorBidi" w:eastAsia="Calibri" w:hAnsiTheme="majorBidi" w:cstheme="majorBidi"/>
          <w:sz w:val="24"/>
          <w:szCs w:val="24"/>
        </w:rPr>
        <w:t xml:space="preserve"> for one hour. Six dilutions were considered for each serum sample, and 4 repetitions for each dilution. There was a repetition for each sample with each well dilution to control the possible effect of serum toxicity in order not to add more virus if any effect was detected. 100 units of virus needed to be placed for each well and each serum dilution. The plates were examined 48-72 hours after incubation, and the CPE was found in all the wells using an inverted microscope. After the examination of the plates, the antibody titer was calculated using the Reed and Muench method. A serum titer or dilution that was able to prevent CPE in 50% of the wells would be chosen as the serum titer.</w:t>
      </w:r>
    </w:p>
    <w:p w:rsidR="00430C2E" w:rsidRPr="00430C2E" w:rsidRDefault="00430C2E" w:rsidP="00F72DE5">
      <w:pPr>
        <w:spacing w:line="480" w:lineRule="auto"/>
        <w:jc w:val="both"/>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Indirect ELISA test</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This test was conducted to evaluate the level of FMD antibody titer (type A2013) in the cow with two goals.</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1. Screening tests, where only those samples are determined that contain sufficient antibodies against the FMD,</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lastRenderedPageBreak/>
        <w:t>2. Antibody titration.</w:t>
      </w:r>
    </w:p>
    <w:p w:rsidR="00430C2E" w:rsidRPr="00430C2E" w:rsidRDefault="00430C2E" w:rsidP="00F72DE5">
      <w:pPr>
        <w:spacing w:line="480" w:lineRule="auto"/>
        <w:jc w:val="both"/>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Determining appropriate amount of viral antigen for plate coating</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Different dilutions of the virus were poured into all the wells using the checkerboard method in the numerical form from top to bottom (the virus was poured horizontally, and the serum was poured vertically) at 37</w:t>
      </w:r>
      <w:r w:rsidRPr="00430C2E">
        <w:rPr>
          <w:rFonts w:ascii="Cambria Math" w:eastAsia="Calibri" w:hAnsi="Cambria Math" w:cs="Cambria Math"/>
          <w:sz w:val="24"/>
          <w:szCs w:val="24"/>
        </w:rPr>
        <w:t>℃</w:t>
      </w:r>
      <w:r w:rsidRPr="00430C2E">
        <w:rPr>
          <w:rFonts w:asciiTheme="majorBidi" w:eastAsia="Calibri" w:hAnsiTheme="majorBidi" w:cstheme="majorBidi"/>
          <w:sz w:val="24"/>
          <w:szCs w:val="24"/>
        </w:rPr>
        <w:t xml:space="preserve"> with shaking for 20 minutes, and then at the same temperature without shaking.</w:t>
      </w:r>
    </w:p>
    <w:p w:rsidR="00430C2E" w:rsidRPr="00430C2E" w:rsidRDefault="00430C2E" w:rsidP="00F72DE5">
      <w:pPr>
        <w:spacing w:line="480" w:lineRule="auto"/>
        <w:jc w:val="both"/>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Washing the plate</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 xml:space="preserve">The plate was washed using PBs (0.002 M) containing Tween-20 (0.05%), and 200 μl of the washing buffer was added to each well. Thus, the plate was washed after shaking for few seconds and 5 minutes without shaking, this was repeated 3 times. </w:t>
      </w:r>
    </w:p>
    <w:p w:rsidR="00430C2E" w:rsidRPr="00430C2E" w:rsidRDefault="00430C2E" w:rsidP="00F72DE5">
      <w:pPr>
        <w:spacing w:line="480" w:lineRule="auto"/>
        <w:jc w:val="both"/>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Adding the serums to the coated plate</w:t>
      </w:r>
    </w:p>
    <w:p w:rsidR="00430C2E" w:rsidRPr="00430C2E" w:rsidRDefault="00430C2E" w:rsidP="00F72DE5">
      <w:pPr>
        <w:spacing w:line="480" w:lineRule="auto"/>
        <w:jc w:val="both"/>
        <w:rPr>
          <w:rFonts w:asciiTheme="majorBidi" w:hAnsiTheme="majorBidi" w:cstheme="majorBidi"/>
          <w:sz w:val="24"/>
          <w:szCs w:val="24"/>
        </w:rPr>
      </w:pPr>
      <w:r w:rsidRPr="00430C2E">
        <w:rPr>
          <w:rFonts w:asciiTheme="majorBidi" w:eastAsia="Calibri" w:hAnsiTheme="majorBidi" w:cstheme="majorBidi"/>
          <w:sz w:val="24"/>
          <w:szCs w:val="24"/>
        </w:rPr>
        <w:t>Different serum dilutions (1/50-1/2800) were prepared using a diluent buffer (PBS 0.01 M, pH 7.2 + 5% skimmed milk + 0.05% Tween 20) and poured into the specific wells. The content of which are as follows</w:t>
      </w:r>
      <w:r w:rsidRPr="00430C2E">
        <w:rPr>
          <w:rFonts w:asciiTheme="majorBidi" w:hAnsiTheme="majorBidi" w:cstheme="majorBidi"/>
          <w:b/>
          <w:bCs/>
          <w:sz w:val="24"/>
          <w:szCs w:val="24"/>
        </w:rPr>
        <w:t xml:space="preserve"> TABLE1</w:t>
      </w:r>
      <w:r w:rsidRPr="00430C2E">
        <w:rPr>
          <w:rFonts w:asciiTheme="majorBidi" w:hAnsiTheme="majorBidi" w:cstheme="majorBidi"/>
          <w:sz w:val="24"/>
          <w:szCs w:val="24"/>
        </w:rPr>
        <w:t>: The wells in columns 11 and 12 were used as blanks in different conditions</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 xml:space="preserve">In the blank wells or control background, all the modes were considered; with coating, without serum, and with conjugated antibody (A11, A12); without coating, with serum, and with conjugated antibody (B11, B12); with coating, with serum, and without conjugated antibody (C11, C12); with coating, serum, and conjugated antibody (D11, D12). The sample was subject to shaking at 37°C for 1 hour after adding the serum. 50 μl of the cow IgG antibody, which had been developed using rabbit and conjugated with peroxidase enzyme, was added to all the wells with a </w:t>
      </w:r>
      <w:r w:rsidRPr="00430C2E">
        <w:rPr>
          <w:rFonts w:asciiTheme="majorBidi" w:eastAsia="Calibri" w:hAnsiTheme="majorBidi" w:cstheme="majorBidi"/>
          <w:sz w:val="24"/>
          <w:szCs w:val="24"/>
        </w:rPr>
        <w:lastRenderedPageBreak/>
        <w:t>dilution of 1/40,000 (according to the manufacturer instructions) after washing the plate. Then, it was shaken in the incubator at 37°C for 1 hour. 50 μl of the chromogen (TMB) was added to all the wells after washing the plate. When the plate was placed at room temperature in the dark for fifteen minutes, 50 μl of 1.25 molar sulfuric acid was added to all the wells to prevent the sample reaction. Afterwards, the optical densities (ODs) were read at 450 nm using an ELISA reader.</w:t>
      </w:r>
    </w:p>
    <w:p w:rsidR="00430C2E" w:rsidRPr="00430C2E" w:rsidRDefault="00430C2E" w:rsidP="00F72DE5">
      <w:pPr>
        <w:tabs>
          <w:tab w:val="left" w:pos="2660"/>
        </w:tabs>
        <w:spacing w:line="480" w:lineRule="auto"/>
        <w:rPr>
          <w:rFonts w:asciiTheme="majorBidi" w:eastAsia="Calibri" w:hAnsiTheme="majorBidi" w:cstheme="majorBidi"/>
          <w:b/>
          <w:bCs/>
          <w:sz w:val="24"/>
          <w:szCs w:val="24"/>
          <w:rtl/>
          <w:lang w:bidi="fa-IR"/>
        </w:rPr>
      </w:pPr>
    </w:p>
    <w:p w:rsidR="00430C2E" w:rsidRPr="00430C2E" w:rsidRDefault="00430C2E" w:rsidP="00F72DE5">
      <w:pPr>
        <w:tabs>
          <w:tab w:val="left" w:pos="2660"/>
        </w:tabs>
        <w:spacing w:line="480" w:lineRule="auto"/>
        <w:rPr>
          <w:rFonts w:asciiTheme="majorBidi" w:eastAsia="Calibri" w:hAnsiTheme="majorBidi" w:cstheme="majorBidi"/>
          <w:b/>
          <w:bCs/>
          <w:sz w:val="24"/>
          <w:szCs w:val="24"/>
        </w:rPr>
      </w:pPr>
    </w:p>
    <w:p w:rsidR="00430C2E" w:rsidRPr="00430C2E" w:rsidRDefault="00430C2E" w:rsidP="00F72DE5">
      <w:pPr>
        <w:spacing w:line="480" w:lineRule="auto"/>
        <w:jc w:val="both"/>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Determining sensitivity and specificity of indirect ELISA test</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In the present study, the SNT test was considered as the criterion for determining true positive and negative results. The two fallowing methods were employed to determine the sensitivity and specificity of the indirect ELISA test for measuring FMDV O2010 antibody in cows:</w:t>
      </w:r>
    </w:p>
    <w:p w:rsidR="00430C2E" w:rsidRPr="00430C2E" w:rsidRDefault="00430C2E" w:rsidP="00F72DE5">
      <w:pPr>
        <w:pStyle w:val="NormalWeb"/>
        <w:spacing w:line="480" w:lineRule="auto"/>
        <w:rPr>
          <w:rFonts w:asciiTheme="majorBidi" w:hAnsiTheme="majorBidi" w:cstheme="majorBidi"/>
        </w:rPr>
      </w:pPr>
      <w:r w:rsidRPr="00430C2E">
        <w:rPr>
          <w:rFonts w:asciiTheme="majorBidi" w:hAnsiTheme="majorBidi" w:cstheme="majorBidi"/>
          <w:b/>
          <w:bCs/>
        </w:rPr>
        <w:t>Sensitivity</w:t>
      </w:r>
      <w:r w:rsidRPr="00430C2E">
        <w:rPr>
          <w:rFonts w:asciiTheme="majorBidi" w:hAnsiTheme="majorBidi" w:cstheme="majorBidi"/>
        </w:rPr>
        <w:t xml:space="preserve"> </w:t>
      </w:r>
      <w:r w:rsidRPr="00430C2E">
        <w:rPr>
          <w:rFonts w:asciiTheme="majorBidi" w:hAnsiTheme="majorBidi" w:cstheme="majorBidi"/>
          <w:b/>
          <w:bCs/>
        </w:rPr>
        <w:t>=</w:t>
      </w:r>
      <w:r w:rsidRPr="00430C2E">
        <w:rPr>
          <w:rFonts w:asciiTheme="majorBidi" w:hAnsiTheme="majorBidi" w:cstheme="majorBidi"/>
        </w:rPr>
        <w:t xml:space="preserve"> a / a+c</w:t>
      </w:r>
    </w:p>
    <w:p w:rsidR="00430C2E" w:rsidRPr="00430C2E" w:rsidRDefault="00430C2E" w:rsidP="00F72DE5">
      <w:pPr>
        <w:pStyle w:val="NormalWeb"/>
        <w:spacing w:line="480" w:lineRule="auto"/>
        <w:rPr>
          <w:rFonts w:asciiTheme="majorBidi" w:hAnsiTheme="majorBidi" w:cstheme="majorBidi"/>
        </w:rPr>
      </w:pPr>
      <w:r w:rsidRPr="00430C2E">
        <w:rPr>
          <w:rFonts w:asciiTheme="majorBidi" w:hAnsiTheme="majorBidi" w:cstheme="majorBidi"/>
        </w:rPr>
        <w:t>= a (true positive) / a+c (true positive + false negative)</w:t>
      </w:r>
    </w:p>
    <w:p w:rsidR="00430C2E" w:rsidRPr="00430C2E" w:rsidRDefault="00430C2E" w:rsidP="00F72DE5">
      <w:pPr>
        <w:pStyle w:val="NormalWeb"/>
        <w:spacing w:line="480" w:lineRule="auto"/>
        <w:rPr>
          <w:rFonts w:asciiTheme="majorBidi" w:hAnsiTheme="majorBidi" w:cstheme="majorBidi"/>
        </w:rPr>
      </w:pPr>
      <w:r w:rsidRPr="00430C2E">
        <w:rPr>
          <w:rFonts w:asciiTheme="majorBidi" w:hAnsiTheme="majorBidi" w:cstheme="majorBidi"/>
          <w:b/>
          <w:bCs/>
        </w:rPr>
        <w:t>Specificity =</w:t>
      </w:r>
      <w:r w:rsidRPr="00430C2E">
        <w:rPr>
          <w:rFonts w:asciiTheme="majorBidi" w:hAnsiTheme="majorBidi" w:cstheme="majorBidi"/>
        </w:rPr>
        <w:t xml:space="preserve"> d / b+d</w:t>
      </w:r>
    </w:p>
    <w:p w:rsidR="00430C2E" w:rsidRPr="00430C2E" w:rsidRDefault="00430C2E" w:rsidP="00F72DE5">
      <w:pPr>
        <w:pStyle w:val="NormalWeb"/>
        <w:spacing w:line="480" w:lineRule="auto"/>
        <w:rPr>
          <w:rFonts w:asciiTheme="majorBidi" w:hAnsiTheme="majorBidi" w:cstheme="majorBidi"/>
        </w:rPr>
      </w:pPr>
      <w:r w:rsidRPr="00430C2E">
        <w:rPr>
          <w:rFonts w:asciiTheme="majorBidi" w:hAnsiTheme="majorBidi" w:cstheme="majorBidi"/>
        </w:rPr>
        <w:t>= d (true negative) / b+d (true negative + false positive)</w:t>
      </w:r>
    </w:p>
    <w:p w:rsidR="00430C2E" w:rsidRPr="00430C2E" w:rsidRDefault="00430C2E" w:rsidP="00F72DE5">
      <w:pPr>
        <w:spacing w:line="480" w:lineRule="auto"/>
        <w:jc w:val="both"/>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ROC analysis</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 xml:space="preserve">ROC was calculated by SPSS 22. The maximum OD was considered to be 100 in the positive control. Therefore, the rest of the samples, either positive or negative control, were examined with this. It is called positive percentage. The positive samples containing antibody titer were already </w:t>
      </w:r>
      <w:r w:rsidRPr="00430C2E">
        <w:rPr>
          <w:rFonts w:asciiTheme="majorBidi" w:eastAsia="Calibri" w:hAnsiTheme="majorBidi" w:cstheme="majorBidi"/>
          <w:sz w:val="24"/>
          <w:szCs w:val="24"/>
        </w:rPr>
        <w:lastRenderedPageBreak/>
        <w:t>specified, plus the negative samples without antibody. When using the SPSS, all the specifications (positive or negative) need to be inserted. The sensitivity and specificity are determined in the form of a TABLE through the option Analysis in the menu bar and selecting ROC curve.</w:t>
      </w:r>
    </w:p>
    <w:p w:rsidR="00430C2E" w:rsidRPr="00430C2E" w:rsidRDefault="00430C2E" w:rsidP="00F72DE5">
      <w:pPr>
        <w:spacing w:line="480" w:lineRule="auto"/>
        <w:jc w:val="both"/>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Determining the percent error or coefficient of variation (CV %)</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This index is measured in two cases:</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 Intra assay coefficient variability: When the samples existing in one plate are tested in duplicate, and the error is calculated between the sample repetitions in the plate.</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CV% = SD of OD in duplicate sample / mean of OD in Duplicate sample *100</w:t>
      </w:r>
    </w:p>
    <w:p w:rsidR="00430C2E" w:rsidRPr="00430C2E" w:rsidRDefault="00430C2E" w:rsidP="00F72DE5">
      <w:pPr>
        <w:spacing w:line="480" w:lineRule="auto"/>
        <w:jc w:val="both"/>
        <w:rPr>
          <w:rFonts w:asciiTheme="majorBidi" w:eastAsia="Calibri" w:hAnsiTheme="majorBidi" w:cstheme="majorBidi"/>
          <w:sz w:val="24"/>
          <w:szCs w:val="24"/>
        </w:rPr>
      </w:pP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 Inter assay coefficient variability: When the similar samples existing in more than one plate are tested at the same time. The error that is detected between the sample repetitions is calculated as follows:</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CV %=SD of plate means /means of plate means *100</w:t>
      </w:r>
    </w:p>
    <w:p w:rsidR="00430C2E" w:rsidRPr="00430C2E" w:rsidRDefault="00430C2E" w:rsidP="00F72DE5">
      <w:pPr>
        <w:spacing w:line="480" w:lineRule="auto"/>
        <w:jc w:val="both"/>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Cut-off calculation</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Cut-off was calculated based on standard deviations and the mean of the negative samples; after determining the positive and negative samples and comparing them with SN tests, 60 negative samples were calculated. The cut-off was obtained using the following formula:</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 xml:space="preserve">Cut off = Mean +/_ 2SD </w:t>
      </w:r>
    </w:p>
    <w:p w:rsidR="00430C2E" w:rsidRPr="00430C2E" w:rsidRDefault="00430C2E" w:rsidP="00F72DE5">
      <w:pPr>
        <w:spacing w:line="480" w:lineRule="auto"/>
        <w:jc w:val="both"/>
        <w:rPr>
          <w:rFonts w:asciiTheme="majorBidi" w:eastAsia="Calibri" w:hAnsiTheme="majorBidi" w:cstheme="majorBidi"/>
          <w:sz w:val="24"/>
          <w:szCs w:val="24"/>
        </w:rPr>
      </w:pP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lastRenderedPageBreak/>
        <w:t>It means that a serum with an OD bigger than the value of Mean+2SD is considered positive, and the one with an OD smaller than 2SD is negative. If the value obtained is not within the range mentioned, the test needs to be repeated.</w:t>
      </w:r>
    </w:p>
    <w:p w:rsidR="00430C2E" w:rsidRPr="00430C2E" w:rsidRDefault="00430C2E" w:rsidP="00F72DE5">
      <w:pPr>
        <w:spacing w:line="480" w:lineRule="auto"/>
        <w:jc w:val="both"/>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Cross-reaction test</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This test was carried out to ensure that there is no cross-reaction occurring between FMDV O2010 and the antiserums A13, A15, and 2016, plus the Newborn Bovine Serum (NBS) collected from the calves in the slaughterhouse, NBS treated with polyethylene glycol (PEG) 6000, the normal horse serum, and the negative control serum available in the commercial kit LBPE. One μg of the inactivated, purified virus (O2010) was coated in each well of the plate in the above mentioned conditions.</w:t>
      </w:r>
    </w:p>
    <w:p w:rsidR="00430C2E" w:rsidRPr="00430C2E" w:rsidRDefault="00430C2E" w:rsidP="00F72DE5">
      <w:pPr>
        <w:spacing w:line="480" w:lineRule="auto"/>
        <w:jc w:val="both"/>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Results</w:t>
      </w:r>
    </w:p>
    <w:p w:rsidR="00430C2E" w:rsidRPr="00430C2E" w:rsidRDefault="00430C2E" w:rsidP="00F72DE5">
      <w:pPr>
        <w:spacing w:line="480" w:lineRule="auto"/>
        <w:jc w:val="both"/>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Live virus titration</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The titer of the virus A13 developed in the BHK cell was obtained 105.8.</w:t>
      </w:r>
    </w:p>
    <w:p w:rsidR="00430C2E" w:rsidRPr="00430C2E" w:rsidRDefault="00430C2E" w:rsidP="00F72DE5">
      <w:pPr>
        <w:spacing w:line="480" w:lineRule="auto"/>
        <w:jc w:val="both"/>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Safety test results</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After performing 3 passages with the virus inactivated by ethyleneamine on the IBRS-2 (BA) cell, there was no CPE detected; that is, the developed A13 viruses were effectively inactivated and no live virus was found in the viral suspension.</w:t>
      </w:r>
    </w:p>
    <w:p w:rsidR="00430C2E" w:rsidRPr="00430C2E" w:rsidRDefault="00430C2E" w:rsidP="00F72DE5">
      <w:pPr>
        <w:spacing w:line="480" w:lineRule="auto"/>
        <w:jc w:val="both"/>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Mass measurement of the inactivated virus (140S)</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 xml:space="preserve">In this regard, the sucrose cushion method was employed for purification using ultracentrifuge. The measurement results were obtained using the formula A = Σ b c, The OD that was read after </w:t>
      </w:r>
      <w:r w:rsidRPr="00430C2E">
        <w:rPr>
          <w:rFonts w:asciiTheme="majorBidi" w:eastAsia="Calibri" w:hAnsiTheme="majorBidi" w:cstheme="majorBidi"/>
          <w:sz w:val="24"/>
          <w:szCs w:val="24"/>
        </w:rPr>
        <w:lastRenderedPageBreak/>
        <w:t xml:space="preserve">the purification at a wavelength of 280 nanometer is as follows: A280=0.531 values obtained represent the amount of the concentrated virus (μg/μl) </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noProof/>
          <w:sz w:val="24"/>
          <w:szCs w:val="24"/>
        </w:rPr>
        <w:drawing>
          <wp:inline distT="0" distB="0" distL="0" distR="0" wp14:anchorId="7DB8737E" wp14:editId="28339559">
            <wp:extent cx="3511730" cy="2857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PNG"/>
                    <pic:cNvPicPr/>
                  </pic:nvPicPr>
                  <pic:blipFill>
                    <a:blip r:embed="rId6">
                      <a:extLst>
                        <a:ext uri="{28A0092B-C50C-407E-A947-70E740481C1C}">
                          <a14:useLocalDpi xmlns:a14="http://schemas.microsoft.com/office/drawing/2010/main" val="0"/>
                        </a:ext>
                      </a:extLst>
                    </a:blip>
                    <a:stretch>
                      <a:fillRect/>
                    </a:stretch>
                  </pic:blipFill>
                  <pic:spPr>
                    <a:xfrm>
                      <a:off x="0" y="0"/>
                      <a:ext cx="3511730" cy="285765"/>
                    </a:xfrm>
                    <a:prstGeom prst="rect">
                      <a:avLst/>
                    </a:prstGeom>
                  </pic:spPr>
                </pic:pic>
              </a:graphicData>
            </a:graphic>
          </wp:inline>
        </w:drawing>
      </w:r>
    </w:p>
    <w:p w:rsidR="00430C2E" w:rsidRPr="00430C2E" w:rsidRDefault="00430C2E" w:rsidP="00F72DE5">
      <w:pPr>
        <w:spacing w:line="480" w:lineRule="auto"/>
        <w:jc w:val="both"/>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Serum titration results using the SNT method</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The SN test was considered the gold test in the present study. The test samples were as follows:</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1. The positive control samples that were developed through the injection of viral antigen to the calf,</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2. The vaccinated samples as the positive samples containing an antibody protective titer,</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3. The negative or unvaccinated samples as the negative control containing no antibody protective titer</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 xml:space="preserve">Antibody protective titer against the A13 positive control serum </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The cow antiserum protective effect against the A13 type virus was titrated using the methods SN and Reed and Muench method. The obtained titer was 2.18, the equivalent dilution of which is 1</w:t>
      </w:r>
      <w:r w:rsidRPr="00430C2E">
        <w:rPr>
          <w:rFonts w:asciiTheme="majorBidi" w:eastAsia="Calibri" w:hAnsiTheme="majorBidi" w:cstheme="majorBidi"/>
          <w:sz w:val="24"/>
          <w:szCs w:val="24"/>
          <w:rtl/>
        </w:rPr>
        <w:t>/</w:t>
      </w:r>
      <w:r w:rsidRPr="00430C2E">
        <w:rPr>
          <w:rFonts w:asciiTheme="majorBidi" w:eastAsia="Calibri" w:hAnsiTheme="majorBidi" w:cstheme="majorBidi"/>
          <w:sz w:val="24"/>
          <w:szCs w:val="24"/>
        </w:rPr>
        <w:t>151.</w:t>
      </w:r>
    </w:p>
    <w:p w:rsidR="00430C2E" w:rsidRPr="00430C2E" w:rsidRDefault="00430C2E" w:rsidP="00F72DE5">
      <w:pPr>
        <w:spacing w:line="480" w:lineRule="auto"/>
        <w:jc w:val="both"/>
        <w:rPr>
          <w:rFonts w:asciiTheme="majorBidi" w:eastAsia="Calibri" w:hAnsiTheme="majorBidi" w:cstheme="majorBidi"/>
          <w:sz w:val="24"/>
          <w:szCs w:val="24"/>
        </w:rPr>
      </w:pP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Titration of negative cattle serums based on the SN method</w:t>
      </w:r>
    </w:p>
    <w:p w:rsidR="00430C2E" w:rsidRPr="00430C2E" w:rsidRDefault="00430C2E" w:rsidP="00F72DE5">
      <w:pPr>
        <w:spacing w:line="480" w:lineRule="auto"/>
        <w:jc w:val="both"/>
        <w:rPr>
          <w:rFonts w:asciiTheme="majorBidi" w:eastAsia="Calibri" w:hAnsiTheme="majorBidi" w:cstheme="majorBidi"/>
          <w:sz w:val="24"/>
          <w:szCs w:val="24"/>
        </w:rPr>
      </w:pPr>
      <w:r w:rsidRPr="00430C2E">
        <w:rPr>
          <w:rFonts w:asciiTheme="majorBidi" w:eastAsia="Calibri" w:hAnsiTheme="majorBidi" w:cstheme="majorBidi"/>
          <w:sz w:val="24"/>
          <w:szCs w:val="24"/>
        </w:rPr>
        <w:t>The titer of all the negative (20) serums that were tested using the SN method, was smaller than or equal to 0.9, indicating that there was no antibody amount that can be considered protective. The result is consistent with the indirect ELISA results.</w:t>
      </w:r>
    </w:p>
    <w:p w:rsidR="00430C2E" w:rsidRPr="00430C2E" w:rsidRDefault="00430C2E" w:rsidP="00F72DE5">
      <w:pPr>
        <w:spacing w:line="480" w:lineRule="auto"/>
        <w:jc w:val="both"/>
        <w:rPr>
          <w:rFonts w:asciiTheme="majorBidi" w:eastAsiaTheme="majorEastAsia" w:hAnsiTheme="majorBidi" w:cstheme="majorBidi"/>
          <w:b/>
          <w:bCs/>
          <w:sz w:val="24"/>
          <w:szCs w:val="24"/>
          <w:lang w:bidi="fa-IR"/>
        </w:rPr>
      </w:pPr>
      <w:r w:rsidRPr="00430C2E">
        <w:rPr>
          <w:rFonts w:asciiTheme="majorBidi" w:eastAsiaTheme="majorEastAsia" w:hAnsiTheme="majorBidi" w:cstheme="majorBidi"/>
          <w:b/>
          <w:bCs/>
          <w:sz w:val="24"/>
          <w:szCs w:val="24"/>
          <w:lang w:bidi="fa-IR"/>
        </w:rPr>
        <w:t>The most appropriate amount of virus for coating</w:t>
      </w:r>
    </w:p>
    <w:p w:rsidR="00430C2E" w:rsidRPr="00430C2E" w:rsidRDefault="00430C2E" w:rsidP="00F72DE5">
      <w:pPr>
        <w:spacing w:line="480" w:lineRule="auto"/>
        <w:rPr>
          <w:rFonts w:asciiTheme="majorBidi" w:hAnsiTheme="majorBidi" w:cstheme="majorBidi"/>
          <w:noProof/>
          <w:sz w:val="24"/>
          <w:szCs w:val="24"/>
        </w:rPr>
      </w:pPr>
      <w:r w:rsidRPr="00430C2E">
        <w:rPr>
          <w:rFonts w:asciiTheme="majorBidi" w:eastAsiaTheme="majorEastAsia" w:hAnsiTheme="majorBidi" w:cstheme="majorBidi"/>
          <w:sz w:val="24"/>
          <w:szCs w:val="24"/>
          <w:lang w:bidi="fa-IR"/>
        </w:rPr>
        <w:lastRenderedPageBreak/>
        <w:t>Different virus dilutions were used to determine the best coating level in the test. Dilutions were coated in duplicate in the plate. The selected amounts for coating the ELISA plate wells are listed in the TABLE below, according to the amount of the 140S particles of foot-and-mouth disease virus (FMDV, type A</w:t>
      </w:r>
      <w:r w:rsidRPr="00430C2E">
        <w:rPr>
          <w:rFonts w:asciiTheme="majorBidi" w:eastAsiaTheme="majorEastAsia" w:hAnsiTheme="majorBidi" w:cstheme="majorBidi"/>
          <w:sz w:val="24"/>
          <w:szCs w:val="24"/>
          <w:vertAlign w:val="subscript"/>
          <w:lang w:bidi="fa-IR"/>
        </w:rPr>
        <w:t>13</w:t>
      </w:r>
      <w:r w:rsidRPr="00430C2E">
        <w:rPr>
          <w:rFonts w:asciiTheme="majorBidi" w:eastAsiaTheme="majorEastAsia" w:hAnsiTheme="majorBidi" w:cstheme="majorBidi"/>
          <w:sz w:val="24"/>
          <w:szCs w:val="24"/>
          <w:lang w:bidi="fa-IR"/>
        </w:rPr>
        <w:t xml:space="preserve">) in each ml of the purified virus solution. </w:t>
      </w:r>
      <w:r w:rsidRPr="00430C2E">
        <w:rPr>
          <w:rFonts w:asciiTheme="majorBidi" w:eastAsiaTheme="majorEastAsia" w:hAnsiTheme="majorBidi" w:cstheme="majorBidi"/>
          <w:b/>
          <w:bCs/>
          <w:sz w:val="24"/>
          <w:szCs w:val="24"/>
          <w:lang w:bidi="fa-IR"/>
        </w:rPr>
        <w:t>TABLE2:</w:t>
      </w:r>
      <w:r w:rsidRPr="00430C2E">
        <w:rPr>
          <w:rFonts w:asciiTheme="majorBidi" w:eastAsiaTheme="majorEastAsia" w:hAnsiTheme="majorBidi" w:cstheme="majorBidi"/>
          <w:sz w:val="24"/>
          <w:szCs w:val="24"/>
          <w:lang w:bidi="fa-IR"/>
        </w:rPr>
        <w:t xml:space="preserve"> Virus amount used in each wells. </w:t>
      </w:r>
      <w:r w:rsidRPr="00430C2E">
        <w:rPr>
          <w:rFonts w:asciiTheme="majorBidi" w:eastAsiaTheme="majorEastAsia" w:hAnsiTheme="majorBidi" w:cstheme="majorBidi"/>
          <w:b/>
          <w:bCs/>
          <w:sz w:val="24"/>
          <w:szCs w:val="24"/>
          <w:lang w:bidi="fa-IR"/>
        </w:rPr>
        <w:t>FIG.1</w:t>
      </w:r>
      <w:r w:rsidRPr="00430C2E">
        <w:rPr>
          <w:rFonts w:asciiTheme="majorBidi" w:eastAsiaTheme="majorEastAsia" w:hAnsiTheme="majorBidi" w:cstheme="majorBidi"/>
          <w:sz w:val="24"/>
          <w:szCs w:val="24"/>
          <w:lang w:bidi="fa-IR"/>
        </w:rPr>
        <w:t>: illustrates different coating levels for different virus dilutions containing sufficient antibody. According to the Figure, the best concentration level of the purified virus is 17-23 μg/ml or 0.8-1.14 in each well to coat the bottom of the plate for conducting the indirect ELISA test</w:t>
      </w:r>
    </w:p>
    <w:p w:rsidR="00430C2E" w:rsidRPr="00430C2E" w:rsidRDefault="00430C2E" w:rsidP="00F72DE5">
      <w:pPr>
        <w:spacing w:line="480" w:lineRule="auto"/>
        <w:jc w:val="both"/>
        <w:rPr>
          <w:rFonts w:asciiTheme="majorBidi" w:eastAsiaTheme="majorEastAsia" w:hAnsiTheme="majorBidi" w:cstheme="majorBidi"/>
          <w:b/>
          <w:bCs/>
          <w:sz w:val="24"/>
          <w:szCs w:val="24"/>
          <w:lang w:bidi="fa-IR"/>
        </w:rPr>
      </w:pPr>
      <w:r w:rsidRPr="00430C2E">
        <w:rPr>
          <w:rFonts w:asciiTheme="majorBidi" w:eastAsiaTheme="majorEastAsia" w:hAnsiTheme="majorBidi" w:cstheme="majorBidi"/>
          <w:b/>
          <w:bCs/>
          <w:sz w:val="24"/>
          <w:szCs w:val="24"/>
          <w:lang w:bidi="fa-IR"/>
        </w:rPr>
        <w:t>A comparison between the antibody titration results using the methods SN and indirect ELISA</w:t>
      </w:r>
    </w:p>
    <w:p w:rsidR="00430C2E" w:rsidRPr="00430C2E" w:rsidRDefault="00430C2E" w:rsidP="00F72DE5">
      <w:pPr>
        <w:spacing w:line="480" w:lineRule="auto"/>
        <w:jc w:val="both"/>
        <w:rPr>
          <w:rFonts w:asciiTheme="majorBidi" w:eastAsiaTheme="majorEastAsia" w:hAnsiTheme="majorBidi" w:cstheme="majorBidi"/>
          <w:sz w:val="24"/>
          <w:szCs w:val="24"/>
          <w:lang w:bidi="fa-IR"/>
        </w:rPr>
      </w:pPr>
      <w:r w:rsidRPr="00430C2E">
        <w:rPr>
          <w:rFonts w:asciiTheme="majorBidi" w:eastAsiaTheme="majorEastAsia" w:hAnsiTheme="majorBidi" w:cstheme="majorBidi"/>
          <w:sz w:val="24"/>
          <w:szCs w:val="24"/>
          <w:lang w:bidi="fa-IR"/>
        </w:rPr>
        <w:t>The vaccinated and unvaccinated animals are shown in TABLE 3and 4.</w:t>
      </w:r>
    </w:p>
    <w:p w:rsidR="00430C2E" w:rsidRPr="00430C2E" w:rsidRDefault="00430C2E" w:rsidP="00F72DE5">
      <w:pPr>
        <w:spacing w:line="480" w:lineRule="auto"/>
        <w:rPr>
          <w:rFonts w:asciiTheme="majorBidi" w:eastAsiaTheme="majorEastAsia" w:hAnsiTheme="majorBidi" w:cstheme="majorBidi"/>
          <w:sz w:val="24"/>
          <w:szCs w:val="24"/>
          <w:lang w:bidi="fa-IR"/>
        </w:rPr>
      </w:pPr>
      <w:r w:rsidRPr="00430C2E">
        <w:rPr>
          <w:rFonts w:asciiTheme="majorBidi" w:eastAsiaTheme="majorEastAsia" w:hAnsiTheme="majorBidi" w:cstheme="majorBidi"/>
          <w:b/>
          <w:bCs/>
          <w:sz w:val="24"/>
          <w:szCs w:val="24"/>
          <w:lang w:bidi="fa-IR"/>
        </w:rPr>
        <w:t>TABLE 3:</w:t>
      </w:r>
      <w:r w:rsidRPr="00430C2E">
        <w:rPr>
          <w:rFonts w:asciiTheme="majorBidi" w:eastAsiaTheme="majorEastAsia" w:hAnsiTheme="majorBidi" w:cstheme="majorBidi"/>
          <w:sz w:val="24"/>
          <w:szCs w:val="24"/>
          <w:lang w:bidi="fa-IR"/>
        </w:rPr>
        <w:t xml:space="preserve"> A comparison between the antibody titration results using the methods SN and Indirect ELISA In the case of vaccinated animals.</w:t>
      </w:r>
    </w:p>
    <w:p w:rsidR="00430C2E" w:rsidRPr="00430C2E" w:rsidRDefault="00430C2E" w:rsidP="00F72DE5">
      <w:pPr>
        <w:spacing w:line="480" w:lineRule="auto"/>
        <w:rPr>
          <w:rFonts w:asciiTheme="majorBidi" w:eastAsiaTheme="majorEastAsia" w:hAnsiTheme="majorBidi" w:cstheme="majorBidi"/>
          <w:sz w:val="24"/>
          <w:szCs w:val="24"/>
          <w:rtl/>
          <w:lang w:bidi="fa-IR"/>
        </w:rPr>
      </w:pPr>
    </w:p>
    <w:p w:rsidR="00430C2E" w:rsidRPr="00430C2E" w:rsidRDefault="00430C2E" w:rsidP="00F72DE5">
      <w:pPr>
        <w:spacing w:line="480" w:lineRule="auto"/>
        <w:rPr>
          <w:rFonts w:asciiTheme="majorBidi" w:eastAsiaTheme="majorEastAsia" w:hAnsiTheme="majorBidi" w:cstheme="majorBidi"/>
          <w:sz w:val="24"/>
          <w:szCs w:val="24"/>
          <w:lang w:bidi="fa-IR"/>
        </w:rPr>
      </w:pPr>
      <w:r w:rsidRPr="00430C2E">
        <w:rPr>
          <w:rFonts w:asciiTheme="majorBidi" w:eastAsiaTheme="majorEastAsia" w:hAnsiTheme="majorBidi" w:cstheme="majorBidi"/>
          <w:b/>
          <w:bCs/>
          <w:sz w:val="24"/>
          <w:szCs w:val="24"/>
          <w:lang w:bidi="fa-IR"/>
        </w:rPr>
        <w:t>TABLE 4:</w:t>
      </w:r>
      <w:r w:rsidRPr="00430C2E">
        <w:rPr>
          <w:rFonts w:asciiTheme="majorBidi" w:eastAsiaTheme="majorEastAsia" w:hAnsiTheme="majorBidi" w:cstheme="majorBidi"/>
          <w:sz w:val="24"/>
          <w:szCs w:val="24"/>
          <w:lang w:bidi="fa-IR"/>
        </w:rPr>
        <w:t xml:space="preserve"> A comparison between the antibody titration results using the methods SN and indirect ELISA In the case of unvaccinated animal.</w:t>
      </w:r>
    </w:p>
    <w:p w:rsidR="00430C2E" w:rsidRPr="00430C2E" w:rsidRDefault="00430C2E" w:rsidP="00F72DE5">
      <w:pPr>
        <w:spacing w:line="480" w:lineRule="auto"/>
        <w:rPr>
          <w:rFonts w:asciiTheme="majorBidi" w:eastAsiaTheme="majorEastAsia" w:hAnsiTheme="majorBidi" w:cstheme="majorBidi"/>
          <w:sz w:val="24"/>
          <w:szCs w:val="24"/>
          <w:lang w:bidi="fa-IR"/>
        </w:rPr>
      </w:pPr>
    </w:p>
    <w:p w:rsidR="00430C2E" w:rsidRPr="00430C2E" w:rsidRDefault="00430C2E" w:rsidP="00F72DE5">
      <w:pPr>
        <w:spacing w:line="480" w:lineRule="auto"/>
        <w:jc w:val="both"/>
        <w:rPr>
          <w:rFonts w:asciiTheme="majorBidi" w:eastAsiaTheme="majorEastAsia" w:hAnsiTheme="majorBidi" w:cstheme="majorBidi"/>
          <w:b/>
          <w:bCs/>
          <w:sz w:val="24"/>
          <w:szCs w:val="24"/>
          <w:lang w:bidi="fa-IR"/>
        </w:rPr>
      </w:pPr>
      <w:r w:rsidRPr="00430C2E">
        <w:rPr>
          <w:rFonts w:asciiTheme="majorBidi" w:eastAsiaTheme="majorEastAsia" w:hAnsiTheme="majorBidi" w:cstheme="majorBidi"/>
          <w:b/>
          <w:bCs/>
          <w:sz w:val="24"/>
          <w:szCs w:val="24"/>
          <w:lang w:bidi="fa-IR"/>
        </w:rPr>
        <w:t>Cut-off calculation</w:t>
      </w:r>
    </w:p>
    <w:p w:rsidR="00430C2E" w:rsidRPr="00430C2E" w:rsidRDefault="00430C2E" w:rsidP="00F72DE5">
      <w:pPr>
        <w:spacing w:line="480" w:lineRule="auto"/>
        <w:rPr>
          <w:rFonts w:asciiTheme="majorBidi" w:hAnsiTheme="majorBidi" w:cstheme="majorBidi"/>
          <w:sz w:val="24"/>
          <w:szCs w:val="24"/>
          <w:lang w:bidi="fa-IR"/>
        </w:rPr>
      </w:pPr>
      <w:r w:rsidRPr="00430C2E">
        <w:rPr>
          <w:rFonts w:asciiTheme="majorBidi" w:hAnsiTheme="majorBidi" w:cstheme="majorBidi"/>
          <w:sz w:val="24"/>
          <w:szCs w:val="24"/>
          <w:lang w:bidi="fa-IR"/>
        </w:rPr>
        <w:t>Negative cow serum samples were used that had been examined using the SN test, with the results that showed there was no antibody in the samples.</w:t>
      </w:r>
    </w:p>
    <w:p w:rsidR="00430C2E" w:rsidRPr="00430C2E" w:rsidRDefault="00430C2E" w:rsidP="00F72DE5">
      <w:pPr>
        <w:spacing w:line="480" w:lineRule="auto"/>
        <w:rPr>
          <w:rFonts w:asciiTheme="majorBidi" w:hAnsiTheme="majorBidi" w:cstheme="majorBidi"/>
          <w:sz w:val="24"/>
          <w:szCs w:val="24"/>
          <w:lang w:bidi="fa-IR"/>
        </w:rPr>
      </w:pPr>
      <w:r w:rsidRPr="00430C2E">
        <w:rPr>
          <w:rFonts w:asciiTheme="majorBidi" w:hAnsiTheme="majorBidi" w:cstheme="majorBidi"/>
          <w:sz w:val="24"/>
          <w:szCs w:val="24"/>
          <w:lang w:bidi="fa-IR"/>
        </w:rPr>
        <w:lastRenderedPageBreak/>
        <w:t>The amount of cut-off that is necessary for A13 antiserum titration was obtained 0.20-0.24 OD. In the test, the cutoff was considered 0.3; that is, the ODs bigger than the value indicate protective antibody and the ODs smaller represent non-protective antibody. In this case, the protective antibody in the IE test was titrated according to the comparison with the SN test with a dilution of 1/800. In other words, a serum titer of equal to or bigger than 1/800 in the indirect ELISA test indicates the minimum protective effect of the antibody, and the smaller values indicate an ineffective antibody titer. The value was considered 1/16 in the SN test. Figures 2illustrate the antibody titer tested using the SNT method in comparison with the indirect ELISA test for both vaccinated and unvaccinated animals. In the Figures, the blue horizontal line represents the cut-off OD obtained using indirect ELISA (in a level of 0.3), the red line represents the cut-off OD obtained using SN method (with a dilution logarithm of 1/2). The lines indicate the amount of antibody in serum. According to the Figure, there is a similar level of protective antibody titer in both tests. This means that that indirect ELISA ODs were bigger than 0.3 when the SN antibody was within the acceptable protective range in the case of vaccinated animals (i.e., a dilution of 1/2). The OD read in indirect ELISA test was smaller than 0.3</w:t>
      </w:r>
    </w:p>
    <w:p w:rsidR="00430C2E" w:rsidRPr="00430C2E" w:rsidRDefault="00430C2E" w:rsidP="00F72DE5">
      <w:pPr>
        <w:spacing w:line="480" w:lineRule="auto"/>
        <w:rPr>
          <w:rFonts w:asciiTheme="majorBidi" w:hAnsiTheme="majorBidi" w:cstheme="majorBidi"/>
          <w:sz w:val="24"/>
          <w:szCs w:val="24"/>
        </w:rPr>
      </w:pPr>
      <w:r w:rsidRPr="00430C2E">
        <w:rPr>
          <w:rFonts w:asciiTheme="majorBidi" w:eastAsiaTheme="majorEastAsia" w:hAnsiTheme="majorBidi" w:cstheme="majorBidi"/>
          <w:b/>
          <w:bCs/>
          <w:sz w:val="24"/>
          <w:szCs w:val="24"/>
          <w:lang w:bidi="fa-IR"/>
        </w:rPr>
        <w:t xml:space="preserve">Figure .2: </w:t>
      </w:r>
      <w:r w:rsidRPr="00430C2E">
        <w:rPr>
          <w:rFonts w:asciiTheme="majorBidi" w:eastAsiaTheme="majorEastAsia" w:hAnsiTheme="majorBidi" w:cstheme="majorBidi"/>
          <w:sz w:val="24"/>
          <w:szCs w:val="24"/>
          <w:lang w:bidi="fa-IR"/>
        </w:rPr>
        <w:t>Comparative (SN, ELISA) antibody titer against A13 in vaccinated animals</w:t>
      </w:r>
    </w:p>
    <w:p w:rsidR="00430C2E" w:rsidRPr="00430C2E" w:rsidRDefault="00430C2E" w:rsidP="00F72DE5">
      <w:pPr>
        <w:spacing w:line="480" w:lineRule="auto"/>
        <w:rPr>
          <w:rFonts w:asciiTheme="majorBidi" w:eastAsiaTheme="majorEastAsia" w:hAnsiTheme="majorBidi" w:cstheme="majorBidi"/>
          <w:sz w:val="24"/>
          <w:szCs w:val="24"/>
          <w:lang w:bidi="fa-IR"/>
        </w:rPr>
      </w:pPr>
    </w:p>
    <w:p w:rsidR="00430C2E" w:rsidRPr="00430C2E" w:rsidRDefault="00430C2E" w:rsidP="00F72DE5">
      <w:pPr>
        <w:spacing w:line="480" w:lineRule="auto"/>
        <w:rPr>
          <w:rFonts w:asciiTheme="majorBidi" w:hAnsiTheme="majorBidi" w:cstheme="majorBidi"/>
          <w:sz w:val="24"/>
          <w:szCs w:val="24"/>
        </w:rPr>
      </w:pPr>
      <w:r w:rsidRPr="00430C2E">
        <w:rPr>
          <w:rFonts w:asciiTheme="majorBidi" w:eastAsiaTheme="majorEastAsia" w:hAnsiTheme="majorBidi" w:cstheme="majorBidi"/>
          <w:b/>
          <w:bCs/>
          <w:sz w:val="24"/>
          <w:szCs w:val="24"/>
          <w:lang w:bidi="fa-IR"/>
        </w:rPr>
        <w:t>The Sensitivity and specificity of the indirect ELISA method</w:t>
      </w:r>
    </w:p>
    <w:p w:rsidR="00430C2E" w:rsidRPr="00430C2E" w:rsidRDefault="00430C2E" w:rsidP="00F72DE5">
      <w:pPr>
        <w:spacing w:line="480" w:lineRule="auto"/>
        <w:rPr>
          <w:rFonts w:asciiTheme="majorBidi" w:hAnsiTheme="majorBidi" w:cstheme="majorBidi"/>
          <w:sz w:val="24"/>
          <w:szCs w:val="24"/>
        </w:rPr>
      </w:pPr>
    </w:p>
    <w:p w:rsidR="00430C2E" w:rsidRPr="00430C2E" w:rsidRDefault="00430C2E" w:rsidP="00F72DE5">
      <w:pPr>
        <w:spacing w:line="480" w:lineRule="auto"/>
        <w:jc w:val="both"/>
        <w:rPr>
          <w:rFonts w:asciiTheme="majorBidi" w:eastAsiaTheme="majorEastAsia" w:hAnsiTheme="majorBidi" w:cstheme="majorBidi"/>
          <w:b/>
          <w:bCs/>
          <w:sz w:val="24"/>
          <w:szCs w:val="24"/>
          <w:lang w:bidi="fa-IR"/>
        </w:rPr>
      </w:pPr>
      <w:r w:rsidRPr="00430C2E">
        <w:rPr>
          <w:rFonts w:asciiTheme="majorBidi" w:eastAsiaTheme="majorEastAsia" w:hAnsiTheme="majorBidi" w:cstheme="majorBidi"/>
          <w:b/>
          <w:bCs/>
          <w:sz w:val="24"/>
          <w:szCs w:val="24"/>
          <w:lang w:bidi="fa-IR"/>
        </w:rPr>
        <w:t>Method 1</w:t>
      </w:r>
    </w:p>
    <w:p w:rsidR="00430C2E" w:rsidRPr="00430C2E" w:rsidRDefault="00430C2E" w:rsidP="00F72DE5">
      <w:pPr>
        <w:spacing w:line="480" w:lineRule="auto"/>
        <w:rPr>
          <w:rFonts w:asciiTheme="majorBidi" w:hAnsiTheme="majorBidi" w:cstheme="majorBidi"/>
          <w:sz w:val="24"/>
          <w:szCs w:val="24"/>
          <w:lang w:bidi="fa-IR"/>
        </w:rPr>
      </w:pPr>
      <w:r w:rsidRPr="00430C2E">
        <w:rPr>
          <w:rFonts w:asciiTheme="majorBidi" w:hAnsiTheme="majorBidi" w:cstheme="majorBidi"/>
          <w:sz w:val="24"/>
          <w:szCs w:val="24"/>
          <w:lang w:bidi="fa-IR"/>
        </w:rPr>
        <w:lastRenderedPageBreak/>
        <w:t xml:space="preserve">According to the formula mentioned in Chapter 2 for calculating sensitivity and specificity and given the fact that the SN test was regarded as the gold test, the sensitivity and specificity were obtained as follows: </w:t>
      </w:r>
    </w:p>
    <w:p w:rsidR="00430C2E" w:rsidRPr="00430C2E" w:rsidRDefault="00430C2E" w:rsidP="00F72DE5">
      <w:pPr>
        <w:spacing w:line="480" w:lineRule="auto"/>
        <w:rPr>
          <w:rFonts w:asciiTheme="majorBidi" w:hAnsiTheme="majorBidi" w:cstheme="majorBidi"/>
          <w:sz w:val="24"/>
          <w:szCs w:val="24"/>
          <w:lang w:bidi="fa-IR"/>
        </w:rPr>
      </w:pPr>
      <w:r w:rsidRPr="00430C2E">
        <w:rPr>
          <w:rFonts w:asciiTheme="majorBidi" w:hAnsiTheme="majorBidi" w:cstheme="majorBidi"/>
          <w:sz w:val="24"/>
          <w:szCs w:val="24"/>
          <w:lang w:bidi="fa-IR"/>
        </w:rPr>
        <w:t>The number of true positive cases based on the SNT results (in the case of A13 virus): 21</w:t>
      </w:r>
    </w:p>
    <w:p w:rsidR="00430C2E" w:rsidRPr="00430C2E" w:rsidRDefault="00430C2E" w:rsidP="00F72DE5">
      <w:pPr>
        <w:spacing w:line="480" w:lineRule="auto"/>
        <w:rPr>
          <w:rFonts w:asciiTheme="majorBidi" w:hAnsiTheme="majorBidi" w:cstheme="majorBidi"/>
          <w:sz w:val="24"/>
          <w:szCs w:val="24"/>
          <w:lang w:bidi="fa-IR"/>
        </w:rPr>
      </w:pPr>
      <w:r w:rsidRPr="00430C2E">
        <w:rPr>
          <w:rFonts w:asciiTheme="majorBidi" w:hAnsiTheme="majorBidi" w:cstheme="majorBidi"/>
          <w:sz w:val="24"/>
          <w:szCs w:val="24"/>
          <w:lang w:bidi="fa-IR"/>
        </w:rPr>
        <w:t>The number of true negative cases based on the SNT results (in the case of A13 virus): 19</w:t>
      </w:r>
    </w:p>
    <w:p w:rsidR="00430C2E" w:rsidRPr="00430C2E" w:rsidRDefault="00430C2E" w:rsidP="00F72DE5">
      <w:pPr>
        <w:spacing w:line="480" w:lineRule="auto"/>
        <w:rPr>
          <w:rFonts w:asciiTheme="majorBidi" w:hAnsiTheme="majorBidi" w:cstheme="majorBidi"/>
          <w:sz w:val="24"/>
          <w:szCs w:val="24"/>
          <w:lang w:bidi="fa-IR"/>
        </w:rPr>
      </w:pPr>
      <w:r w:rsidRPr="00430C2E">
        <w:rPr>
          <w:rFonts w:asciiTheme="majorBidi" w:hAnsiTheme="majorBidi" w:cstheme="majorBidi"/>
          <w:sz w:val="24"/>
          <w:szCs w:val="24"/>
          <w:lang w:bidi="fa-IR"/>
        </w:rPr>
        <w:t>The number of false negative cases based on IE results (in the case of A13 virus): 0</w:t>
      </w:r>
    </w:p>
    <w:p w:rsidR="00430C2E" w:rsidRPr="00430C2E" w:rsidRDefault="00430C2E" w:rsidP="00F72DE5">
      <w:pPr>
        <w:spacing w:line="480" w:lineRule="auto"/>
        <w:rPr>
          <w:rFonts w:asciiTheme="majorBidi" w:hAnsiTheme="majorBidi" w:cstheme="majorBidi"/>
          <w:sz w:val="24"/>
          <w:szCs w:val="24"/>
          <w:lang w:bidi="fa-IR"/>
        </w:rPr>
      </w:pPr>
      <w:r w:rsidRPr="00430C2E">
        <w:rPr>
          <w:rFonts w:asciiTheme="majorBidi" w:hAnsiTheme="majorBidi" w:cstheme="majorBidi"/>
          <w:sz w:val="24"/>
          <w:szCs w:val="24"/>
          <w:lang w:bidi="fa-IR"/>
        </w:rPr>
        <w:t>The number of false positive cases based on IE results (in the case of A13 virus): 4</w:t>
      </w:r>
    </w:p>
    <w:p w:rsidR="00430C2E" w:rsidRPr="00430C2E" w:rsidRDefault="00430C2E" w:rsidP="00F72DE5">
      <w:pPr>
        <w:spacing w:line="480" w:lineRule="auto"/>
        <w:rPr>
          <w:rFonts w:asciiTheme="majorBidi" w:hAnsiTheme="majorBidi" w:cstheme="majorBidi"/>
          <w:sz w:val="24"/>
          <w:szCs w:val="24"/>
          <w:lang w:bidi="fa-IR"/>
        </w:rPr>
      </w:pPr>
    </w:p>
    <w:p w:rsidR="00430C2E" w:rsidRPr="00430C2E" w:rsidRDefault="00430C2E" w:rsidP="00F72DE5">
      <w:pPr>
        <w:spacing w:line="480" w:lineRule="auto"/>
        <w:jc w:val="both"/>
        <w:rPr>
          <w:rFonts w:asciiTheme="majorBidi" w:eastAsiaTheme="majorEastAsia" w:hAnsiTheme="majorBidi" w:cstheme="majorBidi"/>
          <w:b/>
          <w:bCs/>
          <w:sz w:val="24"/>
          <w:szCs w:val="24"/>
          <w:lang w:bidi="fa-IR"/>
        </w:rPr>
      </w:pPr>
      <w:r w:rsidRPr="00430C2E">
        <w:rPr>
          <w:rFonts w:asciiTheme="majorBidi" w:eastAsiaTheme="majorEastAsia" w:hAnsiTheme="majorBidi" w:cstheme="majorBidi"/>
          <w:b/>
          <w:bCs/>
          <w:sz w:val="24"/>
          <w:szCs w:val="24"/>
          <w:lang w:bidi="fa-IR"/>
        </w:rPr>
        <w:t>Method 2</w:t>
      </w:r>
    </w:p>
    <w:p w:rsidR="00430C2E" w:rsidRPr="00430C2E" w:rsidRDefault="00430C2E" w:rsidP="00F72DE5">
      <w:pPr>
        <w:spacing w:line="480" w:lineRule="auto"/>
        <w:jc w:val="both"/>
        <w:rPr>
          <w:rFonts w:asciiTheme="majorBidi" w:eastAsiaTheme="majorEastAsia" w:hAnsiTheme="majorBidi" w:cstheme="majorBidi"/>
          <w:sz w:val="24"/>
          <w:szCs w:val="24"/>
          <w:lang w:bidi="fa-IR"/>
        </w:rPr>
      </w:pPr>
      <w:r w:rsidRPr="00430C2E">
        <w:rPr>
          <w:rFonts w:asciiTheme="majorBidi" w:eastAsiaTheme="majorEastAsia" w:hAnsiTheme="majorBidi" w:cstheme="majorBidi"/>
          <w:sz w:val="24"/>
          <w:szCs w:val="24"/>
          <w:lang w:bidi="fa-IR"/>
        </w:rPr>
        <w:t>In this method, the sensitivity and specificity were obtained 100% and 90%, respectively.</w:t>
      </w:r>
    </w:p>
    <w:p w:rsidR="00430C2E" w:rsidRPr="00430C2E" w:rsidRDefault="00430C2E" w:rsidP="00F72DE5">
      <w:pPr>
        <w:spacing w:after="0" w:line="480" w:lineRule="auto"/>
        <w:rPr>
          <w:rFonts w:asciiTheme="majorBidi" w:eastAsiaTheme="majorEastAsia" w:hAnsiTheme="majorBidi" w:cstheme="majorBidi"/>
          <w:sz w:val="24"/>
          <w:szCs w:val="24"/>
          <w:lang w:bidi="fa-IR"/>
        </w:rPr>
      </w:pPr>
      <w:r w:rsidRPr="00430C2E">
        <w:rPr>
          <w:rFonts w:asciiTheme="majorBidi" w:eastAsiaTheme="majorEastAsia" w:hAnsiTheme="majorBidi" w:cstheme="majorBidi"/>
          <w:b/>
          <w:bCs/>
          <w:sz w:val="24"/>
          <w:szCs w:val="24"/>
          <w:lang w:bidi="fa-IR"/>
        </w:rPr>
        <w:t>TABLE 5:</w:t>
      </w:r>
      <w:r w:rsidRPr="00430C2E">
        <w:rPr>
          <w:rFonts w:asciiTheme="majorBidi" w:eastAsiaTheme="majorEastAsia" w:hAnsiTheme="majorBidi" w:cstheme="majorBidi"/>
          <w:sz w:val="24"/>
          <w:szCs w:val="24"/>
          <w:lang w:bidi="fa-IR"/>
        </w:rPr>
        <w:t xml:space="preserve"> Sensitivity and specificity of the indirect ELISA with Roc analysis </w:t>
      </w:r>
    </w:p>
    <w:p w:rsidR="00430C2E" w:rsidRPr="00430C2E" w:rsidRDefault="00430C2E" w:rsidP="00F72DE5">
      <w:pPr>
        <w:spacing w:after="0" w:line="480" w:lineRule="auto"/>
        <w:rPr>
          <w:rFonts w:asciiTheme="majorBidi" w:eastAsiaTheme="majorEastAsia" w:hAnsiTheme="majorBidi" w:cstheme="majorBidi"/>
          <w:sz w:val="24"/>
          <w:szCs w:val="24"/>
          <w:lang w:bidi="fa-IR"/>
        </w:rPr>
      </w:pPr>
    </w:p>
    <w:p w:rsidR="00430C2E" w:rsidRPr="00430C2E" w:rsidRDefault="00430C2E" w:rsidP="00F72DE5">
      <w:pPr>
        <w:spacing w:after="0" w:line="480" w:lineRule="auto"/>
        <w:rPr>
          <w:rFonts w:asciiTheme="majorBidi" w:eastAsiaTheme="majorEastAsia" w:hAnsiTheme="majorBidi" w:cstheme="majorBidi"/>
          <w:sz w:val="24"/>
          <w:szCs w:val="24"/>
          <w:lang w:bidi="fa-IR"/>
        </w:rPr>
      </w:pPr>
    </w:p>
    <w:p w:rsidR="00430C2E" w:rsidRPr="00430C2E" w:rsidRDefault="00430C2E" w:rsidP="00F72DE5">
      <w:pPr>
        <w:spacing w:line="480" w:lineRule="auto"/>
        <w:jc w:val="both"/>
        <w:rPr>
          <w:rFonts w:asciiTheme="majorBidi" w:eastAsiaTheme="majorEastAsia" w:hAnsiTheme="majorBidi" w:cstheme="majorBidi"/>
          <w:b/>
          <w:bCs/>
          <w:sz w:val="24"/>
          <w:szCs w:val="24"/>
          <w:lang w:bidi="fa-IR"/>
        </w:rPr>
      </w:pPr>
    </w:p>
    <w:p w:rsidR="00430C2E" w:rsidRPr="00430C2E" w:rsidRDefault="00430C2E" w:rsidP="00F72DE5">
      <w:pPr>
        <w:spacing w:line="480" w:lineRule="auto"/>
        <w:jc w:val="both"/>
        <w:rPr>
          <w:rFonts w:asciiTheme="majorBidi" w:eastAsiaTheme="majorEastAsia" w:hAnsiTheme="majorBidi" w:cstheme="majorBidi"/>
          <w:b/>
          <w:bCs/>
          <w:sz w:val="24"/>
          <w:szCs w:val="24"/>
          <w:lang w:bidi="fa-IR"/>
        </w:rPr>
      </w:pPr>
      <w:r w:rsidRPr="00430C2E">
        <w:rPr>
          <w:rFonts w:asciiTheme="majorBidi" w:eastAsiaTheme="majorEastAsia" w:hAnsiTheme="majorBidi" w:cstheme="majorBidi"/>
          <w:b/>
          <w:bCs/>
          <w:sz w:val="24"/>
          <w:szCs w:val="24"/>
          <w:lang w:bidi="fa-IR"/>
        </w:rPr>
        <w:t>Percent error calculation</w:t>
      </w:r>
    </w:p>
    <w:p w:rsidR="00430C2E" w:rsidRPr="00430C2E" w:rsidRDefault="00430C2E" w:rsidP="00F72DE5">
      <w:pPr>
        <w:spacing w:line="480" w:lineRule="auto"/>
        <w:jc w:val="both"/>
        <w:rPr>
          <w:rFonts w:asciiTheme="majorBidi" w:eastAsiaTheme="majorEastAsia" w:hAnsiTheme="majorBidi" w:cstheme="majorBidi"/>
          <w:sz w:val="24"/>
          <w:szCs w:val="24"/>
          <w:lang w:bidi="fa-IR"/>
        </w:rPr>
      </w:pPr>
      <w:r w:rsidRPr="00430C2E">
        <w:rPr>
          <w:rFonts w:asciiTheme="majorBidi" w:eastAsiaTheme="majorEastAsia" w:hAnsiTheme="majorBidi" w:cstheme="majorBidi"/>
          <w:sz w:val="24"/>
          <w:szCs w:val="24"/>
          <w:lang w:bidi="fa-IR"/>
        </w:rPr>
        <w:t xml:space="preserve"> Percent error was calculated in two ways:</w:t>
      </w:r>
    </w:p>
    <w:p w:rsidR="00430C2E" w:rsidRPr="00430C2E" w:rsidRDefault="00430C2E" w:rsidP="00F72DE5">
      <w:pPr>
        <w:spacing w:line="480" w:lineRule="auto"/>
        <w:jc w:val="both"/>
        <w:rPr>
          <w:rFonts w:asciiTheme="majorBidi" w:eastAsiaTheme="majorEastAsia" w:hAnsiTheme="majorBidi" w:cstheme="majorBidi"/>
          <w:sz w:val="24"/>
          <w:szCs w:val="24"/>
          <w:lang w:bidi="fa-IR"/>
        </w:rPr>
      </w:pPr>
      <w:r w:rsidRPr="00430C2E">
        <w:rPr>
          <w:rFonts w:asciiTheme="majorBidi" w:eastAsiaTheme="majorEastAsia" w:hAnsiTheme="majorBidi" w:cstheme="majorBidi"/>
          <w:sz w:val="24"/>
          <w:szCs w:val="24"/>
          <w:lang w:bidi="fa-IR"/>
        </w:rPr>
        <w:t>It was calculated for a plate and samples in duplicate fashion, and the result is called intra assay error. It was obtained 6.65 in the test, which is an acceptable error if smaller than 10%. Similarly, 3.25 is also an acceptable error.</w:t>
      </w:r>
      <w:r w:rsidRPr="00430C2E">
        <w:rPr>
          <w:rFonts w:asciiTheme="majorBidi" w:hAnsiTheme="majorBidi" w:cstheme="majorBidi"/>
          <w:sz w:val="24"/>
          <w:szCs w:val="24"/>
          <w:lang w:bidi="fa-IR"/>
        </w:rPr>
        <w:t xml:space="preserve"> T</w:t>
      </w:r>
      <w:r w:rsidRPr="00430C2E">
        <w:rPr>
          <w:rFonts w:asciiTheme="majorBidi" w:eastAsiaTheme="majorEastAsia" w:hAnsiTheme="majorBidi" w:cstheme="majorBidi"/>
          <w:sz w:val="24"/>
          <w:szCs w:val="24"/>
          <w:lang w:bidi="fa-IR"/>
        </w:rPr>
        <w:t xml:space="preserve">he inter assay error was calculated between the plates containing </w:t>
      </w:r>
      <w:r w:rsidRPr="00430C2E">
        <w:rPr>
          <w:rFonts w:asciiTheme="majorBidi" w:eastAsiaTheme="majorEastAsia" w:hAnsiTheme="majorBidi" w:cstheme="majorBidi"/>
          <w:sz w:val="24"/>
          <w:szCs w:val="24"/>
          <w:lang w:bidi="fa-IR"/>
        </w:rPr>
        <w:lastRenderedPageBreak/>
        <w:t xml:space="preserve">similar samples. It was obtained 3.6% and 6.11% for plates with similar negative samples (5 plates) and with positive samples, respectively. An acceptable inter assay error is smaller than 15% </w:t>
      </w:r>
    </w:p>
    <w:p w:rsidR="00430C2E" w:rsidRPr="00430C2E" w:rsidRDefault="00430C2E" w:rsidP="00F72DE5">
      <w:pPr>
        <w:spacing w:line="480" w:lineRule="auto"/>
        <w:jc w:val="both"/>
        <w:rPr>
          <w:rFonts w:asciiTheme="majorBidi" w:eastAsiaTheme="majorEastAsia" w:hAnsiTheme="majorBidi" w:cstheme="majorBidi"/>
          <w:b/>
          <w:bCs/>
          <w:sz w:val="24"/>
          <w:szCs w:val="24"/>
          <w:lang w:bidi="fa-IR"/>
        </w:rPr>
      </w:pPr>
      <w:r w:rsidRPr="00430C2E">
        <w:rPr>
          <w:rFonts w:asciiTheme="majorBidi" w:eastAsiaTheme="majorEastAsia" w:hAnsiTheme="majorBidi" w:cstheme="majorBidi"/>
          <w:b/>
          <w:bCs/>
          <w:sz w:val="24"/>
          <w:szCs w:val="24"/>
          <w:lang w:bidi="fa-IR"/>
        </w:rPr>
        <w:t>Cross-reaction test results</w:t>
      </w:r>
    </w:p>
    <w:p w:rsidR="00430C2E" w:rsidRPr="00430C2E" w:rsidRDefault="00430C2E" w:rsidP="00F72DE5">
      <w:pPr>
        <w:spacing w:line="480" w:lineRule="auto"/>
        <w:rPr>
          <w:rFonts w:asciiTheme="majorBidi" w:eastAsiaTheme="majorEastAsia" w:hAnsiTheme="majorBidi" w:cstheme="majorBidi"/>
          <w:sz w:val="24"/>
          <w:szCs w:val="24"/>
          <w:lang w:bidi="fa-IR"/>
        </w:rPr>
      </w:pPr>
      <w:r w:rsidRPr="00430C2E">
        <w:rPr>
          <w:rFonts w:asciiTheme="majorBidi" w:eastAsiaTheme="majorEastAsia" w:hAnsiTheme="majorBidi" w:cstheme="majorBidi"/>
          <w:sz w:val="24"/>
          <w:szCs w:val="24"/>
          <w:lang w:bidi="fa-IR"/>
        </w:rPr>
        <w:t>Figure. 3 and TABLE 6 shows the results of the ODs read at a wavelength of 450 nm in different wells.</w:t>
      </w:r>
      <w:r w:rsidRPr="00430C2E">
        <w:rPr>
          <w:rFonts w:asciiTheme="majorBidi" w:eastAsiaTheme="majorEastAsia" w:hAnsiTheme="majorBidi" w:cstheme="majorBidi"/>
          <w:b/>
          <w:bCs/>
          <w:sz w:val="24"/>
          <w:szCs w:val="24"/>
          <w:lang w:bidi="fa-IR"/>
        </w:rPr>
        <w:t xml:space="preserve"> TABLE 6:</w:t>
      </w:r>
      <w:r w:rsidRPr="00430C2E">
        <w:rPr>
          <w:rFonts w:asciiTheme="majorBidi" w:eastAsiaTheme="majorEastAsia" w:hAnsiTheme="majorBidi" w:cstheme="majorBidi"/>
          <w:sz w:val="24"/>
          <w:szCs w:val="24"/>
          <w:lang w:bidi="fa-IR"/>
        </w:rPr>
        <w:t xml:space="preserve"> Cross-reaction test results for different serums and antiserums</w:t>
      </w:r>
    </w:p>
    <w:p w:rsidR="00430C2E" w:rsidRPr="00430C2E" w:rsidRDefault="00430C2E" w:rsidP="00F72DE5">
      <w:pPr>
        <w:spacing w:line="480" w:lineRule="auto"/>
        <w:rPr>
          <w:rFonts w:asciiTheme="majorBidi" w:eastAsiaTheme="majorEastAsia" w:hAnsiTheme="majorBidi" w:cstheme="majorBidi"/>
          <w:sz w:val="24"/>
          <w:szCs w:val="24"/>
          <w:lang w:bidi="fa-IR"/>
        </w:rPr>
      </w:pPr>
      <w:r w:rsidRPr="00430C2E">
        <w:rPr>
          <w:rFonts w:asciiTheme="majorBidi" w:eastAsiaTheme="majorEastAsia" w:hAnsiTheme="majorBidi" w:cstheme="majorBidi"/>
          <w:b/>
          <w:bCs/>
          <w:sz w:val="24"/>
          <w:szCs w:val="24"/>
          <w:lang w:bidi="fa-IR"/>
        </w:rPr>
        <w:t>FIGuer.3:</w:t>
      </w:r>
      <w:r w:rsidRPr="00430C2E">
        <w:rPr>
          <w:rFonts w:asciiTheme="majorBidi" w:eastAsiaTheme="majorEastAsia" w:hAnsiTheme="majorBidi" w:cstheme="majorBidi"/>
          <w:sz w:val="24"/>
          <w:szCs w:val="24"/>
          <w:lang w:bidi="fa-IR"/>
        </w:rPr>
        <w:t xml:space="preserve"> The results of cross-reaction test with serums</w:t>
      </w:r>
    </w:p>
    <w:p w:rsidR="00430C2E" w:rsidRPr="003B343C" w:rsidRDefault="00430C2E" w:rsidP="00F72DE5">
      <w:pPr>
        <w:spacing w:line="480" w:lineRule="auto"/>
        <w:jc w:val="both"/>
        <w:rPr>
          <w:rFonts w:asciiTheme="majorBidi" w:eastAsia="Calibri" w:hAnsiTheme="majorBidi" w:cstheme="majorBidi"/>
          <w:b/>
          <w:bCs/>
          <w:sz w:val="24"/>
          <w:szCs w:val="24"/>
          <w:lang w:bidi="fa-IR"/>
        </w:rPr>
      </w:pPr>
      <w:r w:rsidRPr="003B343C">
        <w:rPr>
          <w:rFonts w:asciiTheme="majorBidi" w:eastAsia="Calibri" w:hAnsiTheme="majorBidi" w:cstheme="majorBidi"/>
          <w:b/>
          <w:bCs/>
          <w:sz w:val="24"/>
          <w:szCs w:val="24"/>
          <w:lang w:bidi="fa-IR"/>
        </w:rPr>
        <w:t>Discussion</w:t>
      </w:r>
    </w:p>
    <w:p w:rsidR="00430C2E" w:rsidRPr="003B343C" w:rsidRDefault="00430C2E" w:rsidP="00F72DE5">
      <w:pPr>
        <w:spacing w:line="480" w:lineRule="auto"/>
        <w:jc w:val="both"/>
        <w:rPr>
          <w:rFonts w:asciiTheme="majorBidi" w:eastAsia="Calibri" w:hAnsiTheme="majorBidi" w:cstheme="majorBidi"/>
          <w:sz w:val="24"/>
          <w:szCs w:val="24"/>
        </w:rPr>
      </w:pPr>
      <w:r w:rsidRPr="003B343C">
        <w:rPr>
          <w:rFonts w:asciiTheme="majorBidi" w:eastAsia="Calibri" w:hAnsiTheme="majorBidi" w:cstheme="majorBidi"/>
          <w:sz w:val="24"/>
          <w:szCs w:val="24"/>
        </w:rPr>
        <w:t>In this study, SNT test was used as a Gold Test to determine the rate of antibody level in serum and it was compared with indirect ELISA method.</w:t>
      </w:r>
    </w:p>
    <w:p w:rsidR="00430C2E" w:rsidRPr="003B343C" w:rsidRDefault="00430C2E" w:rsidP="00F72DE5">
      <w:pPr>
        <w:spacing w:line="480" w:lineRule="auto"/>
        <w:jc w:val="both"/>
        <w:rPr>
          <w:rFonts w:asciiTheme="majorBidi" w:eastAsia="Calibri" w:hAnsiTheme="majorBidi" w:cstheme="majorBidi"/>
          <w:sz w:val="24"/>
          <w:szCs w:val="24"/>
          <w:rtl/>
        </w:rPr>
      </w:pPr>
      <w:r w:rsidRPr="003B343C">
        <w:rPr>
          <w:rFonts w:asciiTheme="majorBidi" w:eastAsia="Calibri" w:hAnsiTheme="majorBidi" w:cstheme="majorBidi"/>
          <w:sz w:val="24"/>
          <w:szCs w:val="24"/>
        </w:rPr>
        <w:t xml:space="preserve">The SNT method provides the possibility of </w:t>
      </w:r>
      <w:r w:rsidRPr="0099105C">
        <w:rPr>
          <w:rFonts w:asciiTheme="majorBidi" w:eastAsia="Calibri" w:hAnsiTheme="majorBidi" w:cstheme="majorBidi"/>
          <w:sz w:val="24"/>
          <w:szCs w:val="24"/>
        </w:rPr>
        <w:t>comparing the</w:t>
      </w:r>
      <w:r w:rsidRPr="003B343C">
        <w:rPr>
          <w:rFonts w:asciiTheme="majorBidi" w:eastAsia="Calibri" w:hAnsiTheme="majorBidi" w:cstheme="majorBidi"/>
          <w:sz w:val="24"/>
          <w:szCs w:val="24"/>
        </w:rPr>
        <w:t xml:space="preserve"> antibody's protection rate by the titer of serum. Many experts emphasized this method including Jinsikoh who </w:t>
      </w:r>
      <w:r w:rsidRPr="0099105C">
        <w:rPr>
          <w:rFonts w:asciiTheme="majorBidi" w:eastAsia="Calibri" w:hAnsiTheme="majorBidi" w:cstheme="majorBidi"/>
          <w:sz w:val="24"/>
          <w:szCs w:val="24"/>
        </w:rPr>
        <w:t>compared SN</w:t>
      </w:r>
      <w:r w:rsidRPr="003B343C">
        <w:rPr>
          <w:rFonts w:asciiTheme="majorBidi" w:eastAsia="Calibri" w:hAnsiTheme="majorBidi" w:cstheme="majorBidi"/>
          <w:sz w:val="24"/>
          <w:szCs w:val="24"/>
        </w:rPr>
        <w:t xml:space="preserve"> and ELISA methods in one of his articles.</w:t>
      </w:r>
    </w:p>
    <w:p w:rsidR="00430C2E" w:rsidRPr="003B343C" w:rsidRDefault="00430C2E" w:rsidP="00F72DE5">
      <w:pPr>
        <w:spacing w:line="480" w:lineRule="auto"/>
        <w:jc w:val="both"/>
        <w:rPr>
          <w:rFonts w:asciiTheme="majorBidi" w:eastAsia="Calibri" w:hAnsiTheme="majorBidi" w:cstheme="majorBidi"/>
          <w:sz w:val="24"/>
          <w:szCs w:val="24"/>
        </w:rPr>
      </w:pPr>
      <w:r w:rsidRPr="003B343C">
        <w:rPr>
          <w:rFonts w:asciiTheme="majorBidi" w:eastAsia="Calibri" w:hAnsiTheme="majorBidi" w:cstheme="majorBidi"/>
          <w:sz w:val="24"/>
          <w:szCs w:val="24"/>
        </w:rPr>
        <w:t xml:space="preserve">According to his view point, the obtained results from SN and ELISA are compatible with each other and there are no significant </w:t>
      </w:r>
      <w:r w:rsidRPr="0099105C">
        <w:rPr>
          <w:rFonts w:asciiTheme="majorBidi" w:eastAsia="Calibri" w:hAnsiTheme="majorBidi" w:cstheme="majorBidi"/>
          <w:sz w:val="24"/>
          <w:szCs w:val="24"/>
        </w:rPr>
        <w:t>differences between</w:t>
      </w:r>
      <w:r w:rsidRPr="003B343C">
        <w:rPr>
          <w:rFonts w:asciiTheme="majorBidi" w:eastAsia="Calibri" w:hAnsiTheme="majorBidi" w:cstheme="majorBidi"/>
          <w:sz w:val="24"/>
          <w:szCs w:val="24"/>
        </w:rPr>
        <w:t xml:space="preserve"> them. By reviewing 1024 samples, he suggested that the SN method should be considered as a Gold test. The indirect ELISA method has less steps and higher speed in comparison with the other ELISA methods</w:t>
      </w:r>
      <w:r w:rsidR="001F58E3">
        <w:rPr>
          <w:rFonts w:asciiTheme="majorBidi" w:eastAsia="Calibri" w:hAnsiTheme="majorBidi" w:cstheme="majorBidi"/>
          <w:sz w:val="24"/>
          <w:szCs w:val="24"/>
        </w:rPr>
        <w:fldChar w:fldCharType="begin"/>
      </w:r>
      <w:r w:rsidR="001F58E3">
        <w:rPr>
          <w:rFonts w:asciiTheme="majorBidi" w:eastAsia="Calibri" w:hAnsiTheme="majorBidi" w:cstheme="majorBidi"/>
          <w:sz w:val="24"/>
          <w:szCs w:val="24"/>
        </w:rPr>
        <w:instrText xml:space="preserve"> ADDIN EN.CITE &lt;EndNote&gt;&lt;Cite&gt;&lt;Author&gt;Oh&lt;/Author&gt;&lt;Year&gt;2005&lt;/Year&gt;&lt;RecNum&gt;3&lt;/RecNum&gt;&lt;DisplayText&gt;(Oh, Song et al. 2005)&lt;/DisplayText&gt;&lt;record&gt;&lt;rec-number&gt;3&lt;/rec-number&gt;&lt;foreign-keys&gt;&lt;key app="EN" db-id="vt2fsf0d69dvz1errz3pwr2cvv5zs9r9fprf"&gt;3&lt;/key&gt;&lt;/foreign-keys&gt;&lt;ref-type name="Journal Article"&gt;17&lt;/ref-type&gt;&lt;contributors&gt;&lt;authors&gt;&lt;author&gt;Oh, JS&lt;/author&gt;&lt;author&gt; Song, DS&lt;/author&gt;&lt;author&gt;Yang ,JS&lt;/author&gt;&lt;author&gt; Song, JY&lt;/author&gt;&lt;author&gt; Moon, HJ&lt;/author&gt;&lt;author&gt; Kim, TY&lt;/author&gt;&lt;author&gt; Park ,BK&lt;/author&gt;&lt;/authors&gt;&lt;/contributors&gt;&lt;titles&gt;&lt;title&gt;Comparison of an enzyme-linked immunosorbent assay with serum neutralization test for serodiagnosis of porcine epidemic diarrhea virus infection.&lt;/title&gt;&lt;secondary-title&gt;J Vet Sci. &lt;/secondary-title&gt;&lt;/titles&gt;&lt;periodical&gt;&lt;full-title&gt;J Vet Sci.&lt;/full-title&gt;&lt;/periodical&gt;&lt;pages&gt;349-52.&lt;/pages&gt;&lt;dates&gt;&lt;year&gt;2005&lt;/year&gt;&lt;/dates&gt;&lt;urls&gt;&lt;/urls&gt;&lt;custom2&gt;16294000&lt;/custom2&gt;&lt;/record&gt;&lt;/Cite&gt;&lt;/EndNote&gt;</w:instrText>
      </w:r>
      <w:r w:rsidR="001F58E3">
        <w:rPr>
          <w:rFonts w:asciiTheme="majorBidi" w:eastAsia="Calibri" w:hAnsiTheme="majorBidi" w:cstheme="majorBidi"/>
          <w:sz w:val="24"/>
          <w:szCs w:val="24"/>
        </w:rPr>
        <w:fldChar w:fldCharType="separate"/>
      </w:r>
      <w:r w:rsidR="001F58E3">
        <w:rPr>
          <w:rFonts w:asciiTheme="majorBidi" w:eastAsia="Calibri" w:hAnsiTheme="majorBidi" w:cstheme="majorBidi"/>
          <w:noProof/>
          <w:sz w:val="24"/>
          <w:szCs w:val="24"/>
        </w:rPr>
        <w:t>(</w:t>
      </w:r>
      <w:hyperlink w:anchor="_ENREF_4" w:tooltip="Oh, 2005 #3" w:history="1">
        <w:r w:rsidR="006546A9">
          <w:rPr>
            <w:rFonts w:asciiTheme="majorBidi" w:eastAsia="Calibri" w:hAnsiTheme="majorBidi" w:cstheme="majorBidi"/>
            <w:noProof/>
            <w:sz w:val="24"/>
            <w:szCs w:val="24"/>
          </w:rPr>
          <w:t>Oh, Song et al. 2005</w:t>
        </w:r>
      </w:hyperlink>
      <w:r w:rsidR="001F58E3">
        <w:rPr>
          <w:rFonts w:asciiTheme="majorBidi" w:eastAsia="Calibri" w:hAnsiTheme="majorBidi" w:cstheme="majorBidi"/>
          <w:noProof/>
          <w:sz w:val="24"/>
          <w:szCs w:val="24"/>
        </w:rPr>
        <w:t>)</w:t>
      </w:r>
      <w:r w:rsidR="001F58E3">
        <w:rPr>
          <w:rFonts w:asciiTheme="majorBidi" w:eastAsia="Calibri" w:hAnsiTheme="majorBidi" w:cstheme="majorBidi"/>
          <w:sz w:val="24"/>
          <w:szCs w:val="24"/>
        </w:rPr>
        <w:fldChar w:fldCharType="end"/>
      </w:r>
      <w:r w:rsidR="001F58E3">
        <w:rPr>
          <w:rFonts w:asciiTheme="majorBidi" w:eastAsia="Calibri" w:hAnsiTheme="majorBidi" w:cstheme="majorBidi"/>
          <w:sz w:val="24"/>
          <w:szCs w:val="24"/>
        </w:rPr>
        <w:t>.</w:t>
      </w:r>
    </w:p>
    <w:p w:rsidR="00430C2E" w:rsidRPr="003B343C" w:rsidRDefault="00430C2E" w:rsidP="00F72DE5">
      <w:pPr>
        <w:spacing w:line="480" w:lineRule="auto"/>
        <w:jc w:val="both"/>
        <w:rPr>
          <w:rFonts w:asciiTheme="majorBidi" w:eastAsia="Calibri" w:hAnsiTheme="majorBidi" w:cstheme="majorBidi"/>
          <w:sz w:val="24"/>
          <w:szCs w:val="24"/>
          <w:rtl/>
        </w:rPr>
      </w:pPr>
      <w:r w:rsidRPr="003B343C">
        <w:rPr>
          <w:rFonts w:asciiTheme="majorBidi" w:eastAsia="Calibri" w:hAnsiTheme="majorBidi" w:cstheme="majorBidi"/>
          <w:sz w:val="24"/>
          <w:szCs w:val="24"/>
        </w:rPr>
        <w:t>Other experts have used the indirect ELISA test as well. For example</w:t>
      </w:r>
      <w:r w:rsidRPr="003B343C">
        <w:rPr>
          <w:rFonts w:asciiTheme="majorBidi" w:hAnsiTheme="majorBidi" w:cstheme="majorBidi"/>
          <w:sz w:val="24"/>
          <w:szCs w:val="24"/>
        </w:rPr>
        <w:t xml:space="preserve"> </w:t>
      </w:r>
      <w:r w:rsidRPr="003B343C">
        <w:rPr>
          <w:rFonts w:asciiTheme="majorBidi" w:eastAsia="Calibri" w:hAnsiTheme="majorBidi" w:cstheme="majorBidi"/>
          <w:sz w:val="24"/>
          <w:szCs w:val="24"/>
        </w:rPr>
        <w:t>Jitendra used this method to detect antibodies against the 2B protein of FMD disease for differential diagnosis of vaccine-derived antibodies or antibodies derived from the disease</w:t>
      </w:r>
      <w:r w:rsidR="00631994">
        <w:rPr>
          <w:rFonts w:asciiTheme="majorBidi" w:eastAsia="Calibri" w:hAnsiTheme="majorBidi" w:cstheme="majorBidi"/>
          <w:sz w:val="24"/>
          <w:szCs w:val="24"/>
        </w:rPr>
        <w:fldChar w:fldCharType="begin"/>
      </w:r>
      <w:r w:rsidR="006546A9">
        <w:rPr>
          <w:rFonts w:asciiTheme="majorBidi" w:eastAsia="Calibri" w:hAnsiTheme="majorBidi" w:cstheme="majorBidi"/>
          <w:sz w:val="24"/>
          <w:szCs w:val="24"/>
        </w:rPr>
        <w:instrText xml:space="preserve"> ADDIN EN.CITE &lt;EndNote&gt;&lt;Cite&gt;&lt;Author&gt;Jitendra&lt;/Author&gt;&lt;Year&gt;2013&lt;/Year&gt;&lt;RecNum&gt;10&lt;/RecNum&gt;&lt;DisplayText&gt;(Jitendra, Sarita et al. 2013)&lt;/DisplayText&gt;&lt;record&gt;&lt;rec-number&gt;10&lt;/rec-number&gt;&lt;foreign-keys&gt;&lt;key app="EN" db-id="vt2fsf0d69dvz1errz3pwr2cvv5zs9r9fprf"&gt;10&lt;/key&gt;&lt;/foreign-keys&gt;&lt;ref-type name="Journal Article"&gt;17&lt;/ref-type&gt;&lt;contributors&gt;&lt;authors&gt;&lt;author&gt;Jitendra, K Biswal &lt;/author&gt;&lt;author&gt; Sarita, Jena&lt;/author&gt;&lt;author&gt; Jajati ,K&lt;/author&gt;&lt;author&gt; Moha,Patra &lt;/author&gt;&lt;author&gt; Punam, Bisht &lt;/author&gt;&lt;author&gt; Bramhadev ,Pattnaik&lt;/author&gt;&lt;/authors&gt;&lt;/contributors&gt;&lt;titles&gt;&lt;title&gt;Detection of antibodies specific for foot-and-mouth disease virus infection using indirect ELISA based on recombinant nonstructural protein 2B&amp;#xD;&amp;#xD;&lt;/title&gt;&lt;secondary-title&gt;Arch Virol&lt;/secondary-title&gt;&lt;/titles&gt;&lt;periodical&gt;&lt;full-title&gt;Arch Virol&lt;/full-title&gt;&lt;/periodical&gt;&lt;dates&gt;&lt;year&gt;2013&lt;/year&gt;&lt;/dates&gt;&lt;urls&gt;&lt;/urls&gt;&lt;electronic-resource-num&gt;10.1007/s00705-013-1973-3&lt;/electronic-resource-num&gt;&lt;/record&gt;&lt;/Cite&gt;&lt;/EndNote&gt;</w:instrText>
      </w:r>
      <w:r w:rsidR="00631994">
        <w:rPr>
          <w:rFonts w:asciiTheme="majorBidi" w:eastAsia="Calibri" w:hAnsiTheme="majorBidi" w:cstheme="majorBidi"/>
          <w:sz w:val="24"/>
          <w:szCs w:val="24"/>
        </w:rPr>
        <w:fldChar w:fldCharType="separate"/>
      </w:r>
      <w:r w:rsidR="00631994">
        <w:rPr>
          <w:rFonts w:asciiTheme="majorBidi" w:eastAsia="Calibri" w:hAnsiTheme="majorBidi" w:cstheme="majorBidi"/>
          <w:noProof/>
          <w:sz w:val="24"/>
          <w:szCs w:val="24"/>
        </w:rPr>
        <w:t>(</w:t>
      </w:r>
      <w:hyperlink w:anchor="_ENREF_3" w:tooltip="Jitendra, 2013 #10" w:history="1">
        <w:r w:rsidR="006546A9">
          <w:rPr>
            <w:rFonts w:asciiTheme="majorBidi" w:eastAsia="Calibri" w:hAnsiTheme="majorBidi" w:cstheme="majorBidi"/>
            <w:noProof/>
            <w:sz w:val="24"/>
            <w:szCs w:val="24"/>
          </w:rPr>
          <w:t>Jitendra, Sarita et al. 2013</w:t>
        </w:r>
      </w:hyperlink>
      <w:r w:rsidR="00631994">
        <w:rPr>
          <w:rFonts w:asciiTheme="majorBidi" w:eastAsia="Calibri" w:hAnsiTheme="majorBidi" w:cstheme="majorBidi"/>
          <w:noProof/>
          <w:sz w:val="24"/>
          <w:szCs w:val="24"/>
        </w:rPr>
        <w:t>)</w:t>
      </w:r>
      <w:r w:rsidR="00631994">
        <w:rPr>
          <w:rFonts w:asciiTheme="majorBidi" w:eastAsia="Calibri" w:hAnsiTheme="majorBidi" w:cstheme="majorBidi"/>
          <w:sz w:val="24"/>
          <w:szCs w:val="24"/>
        </w:rPr>
        <w:fldChar w:fldCharType="end"/>
      </w:r>
      <w:r w:rsidRPr="003B343C">
        <w:rPr>
          <w:rFonts w:asciiTheme="majorBidi" w:eastAsia="Calibri" w:hAnsiTheme="majorBidi" w:cstheme="majorBidi"/>
          <w:sz w:val="24"/>
          <w:szCs w:val="24"/>
        </w:rPr>
        <w:t xml:space="preserve">. </w:t>
      </w:r>
    </w:p>
    <w:p w:rsidR="00430C2E" w:rsidRPr="003B343C" w:rsidRDefault="00430C2E" w:rsidP="00F72DE5">
      <w:pPr>
        <w:spacing w:line="480" w:lineRule="auto"/>
        <w:jc w:val="both"/>
        <w:rPr>
          <w:rFonts w:asciiTheme="majorBidi" w:eastAsia="Calibri" w:hAnsiTheme="majorBidi" w:cstheme="majorBidi"/>
          <w:sz w:val="24"/>
          <w:szCs w:val="24"/>
        </w:rPr>
      </w:pPr>
      <w:r w:rsidRPr="003B343C">
        <w:rPr>
          <w:rFonts w:asciiTheme="majorBidi" w:eastAsia="Calibri" w:hAnsiTheme="majorBidi" w:cstheme="majorBidi"/>
          <w:sz w:val="24"/>
          <w:szCs w:val="24"/>
        </w:rPr>
        <w:lastRenderedPageBreak/>
        <w:t>In the present study, for the first time, the indirect ELISA test was used to measure the antibody against the structural proteins of the A</w:t>
      </w:r>
      <w:r w:rsidRPr="003B343C">
        <w:rPr>
          <w:rFonts w:asciiTheme="majorBidi" w:eastAsia="Calibri" w:hAnsiTheme="majorBidi" w:cstheme="majorBidi"/>
          <w:sz w:val="24"/>
          <w:szCs w:val="24"/>
          <w:vertAlign w:val="subscript"/>
        </w:rPr>
        <w:t>13</w:t>
      </w:r>
      <w:r w:rsidRPr="003B343C">
        <w:rPr>
          <w:rFonts w:asciiTheme="majorBidi" w:eastAsia="Calibri" w:hAnsiTheme="majorBidi" w:cstheme="majorBidi"/>
          <w:sz w:val="24"/>
          <w:szCs w:val="24"/>
        </w:rPr>
        <w:t xml:space="preserve"> FMD virus. For this purpose, the pure and inactive full virus was used.</w:t>
      </w:r>
      <w:r w:rsidRPr="003B343C">
        <w:rPr>
          <w:rFonts w:asciiTheme="majorBidi" w:eastAsia="Calibri" w:hAnsiTheme="majorBidi" w:cstheme="majorBidi"/>
          <w:sz w:val="24"/>
          <w:szCs w:val="24"/>
          <w:rtl/>
        </w:rPr>
        <w:t xml:space="preserve"> </w:t>
      </w:r>
    </w:p>
    <w:p w:rsidR="00430C2E" w:rsidRPr="003B343C" w:rsidRDefault="00430C2E" w:rsidP="00F72DE5">
      <w:pPr>
        <w:spacing w:line="480" w:lineRule="auto"/>
        <w:jc w:val="both"/>
        <w:rPr>
          <w:rFonts w:asciiTheme="majorBidi" w:eastAsia="Calibri" w:hAnsiTheme="majorBidi" w:cstheme="majorBidi"/>
          <w:sz w:val="24"/>
          <w:szCs w:val="24"/>
        </w:rPr>
      </w:pPr>
      <w:r w:rsidRPr="003B343C">
        <w:rPr>
          <w:rFonts w:asciiTheme="majorBidi" w:eastAsia="Calibri" w:hAnsiTheme="majorBidi" w:cstheme="majorBidi"/>
          <w:sz w:val="24"/>
          <w:szCs w:val="24"/>
        </w:rPr>
        <w:t>In this study, because of the need to coat the full virus</w:t>
      </w:r>
      <w:r w:rsidRPr="0099105C">
        <w:rPr>
          <w:rFonts w:asciiTheme="majorBidi" w:eastAsia="Calibri" w:hAnsiTheme="majorBidi" w:cstheme="majorBidi"/>
          <w:sz w:val="24"/>
          <w:szCs w:val="24"/>
        </w:rPr>
        <w:t>, the</w:t>
      </w:r>
      <w:r w:rsidRPr="003B343C">
        <w:rPr>
          <w:rFonts w:asciiTheme="majorBidi" w:eastAsia="Calibri" w:hAnsiTheme="majorBidi" w:cstheme="majorBidi"/>
          <w:sz w:val="24"/>
          <w:szCs w:val="24"/>
        </w:rPr>
        <w:t xml:space="preserve"> FMD virus was made pure so aid its </w:t>
      </w:r>
      <w:r w:rsidRPr="0099105C">
        <w:rPr>
          <w:rFonts w:asciiTheme="majorBidi" w:eastAsia="Calibri" w:hAnsiTheme="majorBidi" w:cstheme="majorBidi"/>
          <w:sz w:val="24"/>
          <w:szCs w:val="24"/>
        </w:rPr>
        <w:t>separation from</w:t>
      </w:r>
      <w:r w:rsidRPr="003B343C">
        <w:rPr>
          <w:rFonts w:asciiTheme="majorBidi" w:eastAsia="Calibri" w:hAnsiTheme="majorBidi" w:cstheme="majorBidi"/>
          <w:sz w:val="24"/>
          <w:szCs w:val="24"/>
        </w:rPr>
        <w:t xml:space="preserve"> other cell proteins and culture media.</w:t>
      </w:r>
    </w:p>
    <w:p w:rsidR="00430C2E" w:rsidRPr="003B343C" w:rsidRDefault="00430C2E" w:rsidP="00F72DE5">
      <w:pPr>
        <w:spacing w:line="480" w:lineRule="auto"/>
        <w:jc w:val="both"/>
        <w:rPr>
          <w:rFonts w:asciiTheme="majorBidi" w:eastAsia="Calibri" w:hAnsiTheme="majorBidi" w:cstheme="majorBidi"/>
          <w:sz w:val="24"/>
          <w:szCs w:val="24"/>
          <w:lang w:bidi="fa-IR"/>
        </w:rPr>
      </w:pPr>
      <w:r w:rsidRPr="003B343C">
        <w:rPr>
          <w:rFonts w:asciiTheme="majorBidi" w:eastAsia="Calibri" w:hAnsiTheme="majorBidi" w:cstheme="majorBidi"/>
          <w:sz w:val="24"/>
          <w:szCs w:val="24"/>
        </w:rPr>
        <w:t>The virus was purified by a sucrose cushion, such that due to the heavier bone virus the cellular proteins and the resulting viscosity medium passes through a concentration of 20% sucrose and precipitates at the bottom of the tube.</w:t>
      </w:r>
      <w:r w:rsidRPr="003B343C">
        <w:rPr>
          <w:rFonts w:asciiTheme="majorBidi" w:eastAsia="Calibri" w:hAnsiTheme="majorBidi" w:cstheme="majorBidi"/>
          <w:sz w:val="24"/>
          <w:szCs w:val="24"/>
          <w:rtl/>
        </w:rPr>
        <w:t xml:space="preserve"> </w:t>
      </w:r>
      <w:r w:rsidRPr="003B343C">
        <w:rPr>
          <w:rFonts w:asciiTheme="majorBidi" w:eastAsia="Calibri" w:hAnsiTheme="majorBidi" w:cstheme="majorBidi"/>
          <w:sz w:val="24"/>
          <w:szCs w:val="24"/>
        </w:rPr>
        <w:t xml:space="preserve">Although, the protein of the cell and the culture medium remain at the top of the tube because they do not have the ability to overcome the concentration of 20% sucrose viscosity, purification of FMD virus by using sucrose cushion has </w:t>
      </w:r>
      <w:r w:rsidRPr="0099105C">
        <w:rPr>
          <w:rFonts w:asciiTheme="majorBidi" w:eastAsia="Calibri" w:hAnsiTheme="majorBidi" w:cstheme="majorBidi"/>
          <w:sz w:val="24"/>
          <w:szCs w:val="24"/>
        </w:rPr>
        <w:t>been tried</w:t>
      </w:r>
      <w:r w:rsidRPr="003B343C">
        <w:rPr>
          <w:rFonts w:asciiTheme="majorBidi" w:eastAsia="Calibri" w:hAnsiTheme="majorBidi" w:cstheme="majorBidi"/>
          <w:sz w:val="24"/>
          <w:szCs w:val="24"/>
        </w:rPr>
        <w:t xml:space="preserve"> by many experts. Among them, Bashrash et al. in 1964 used this method to purify fever virus.</w:t>
      </w:r>
    </w:p>
    <w:p w:rsidR="00430C2E" w:rsidRPr="003B343C" w:rsidRDefault="00430C2E" w:rsidP="00F72DE5">
      <w:pPr>
        <w:spacing w:line="480" w:lineRule="auto"/>
        <w:jc w:val="both"/>
        <w:rPr>
          <w:rFonts w:asciiTheme="majorBidi" w:eastAsia="Calibri" w:hAnsiTheme="majorBidi" w:cstheme="majorBidi"/>
          <w:sz w:val="24"/>
          <w:szCs w:val="24"/>
          <w:lang w:bidi="fa-IR"/>
        </w:rPr>
      </w:pPr>
      <w:r w:rsidRPr="003B343C">
        <w:rPr>
          <w:rFonts w:asciiTheme="majorBidi" w:eastAsia="Calibri" w:hAnsiTheme="majorBidi" w:cstheme="majorBidi"/>
          <w:sz w:val="24"/>
          <w:szCs w:val="24"/>
        </w:rPr>
        <w:t>By coating complete viral particle there is no need to take any necessary molecular action such as gene express and producing a specific protein. Accordingly, the test speed becomes much higher; and in the event of occurrence of a new epidemic, it is possible that by using viral complete particle, a new epidemic status and the new viruses emerging from the antibody test can be quickly determined. But some restrictions, including the generated virus, require purification</w:t>
      </w:r>
      <w:r w:rsidRPr="003B343C">
        <w:rPr>
          <w:rFonts w:asciiTheme="majorBidi" w:eastAsia="Calibri" w:hAnsiTheme="majorBidi" w:cstheme="majorBidi"/>
          <w:sz w:val="24"/>
          <w:szCs w:val="24"/>
          <w:lang w:bidi="fa-IR"/>
        </w:rPr>
        <w:t xml:space="preserve">. </w:t>
      </w:r>
      <w:r w:rsidRPr="003B343C">
        <w:rPr>
          <w:rFonts w:asciiTheme="majorBidi" w:eastAsia="Calibri" w:hAnsiTheme="majorBidi" w:cstheme="majorBidi"/>
          <w:sz w:val="24"/>
          <w:szCs w:val="24"/>
        </w:rPr>
        <w:t>For all animals, the anti-immunoglobulin conjugate antibody of the same animal</w:t>
      </w:r>
      <w:r w:rsidRPr="003B343C">
        <w:rPr>
          <w:rFonts w:asciiTheme="majorBidi" w:eastAsia="Calibri" w:hAnsiTheme="majorBidi" w:cstheme="majorBidi"/>
          <w:sz w:val="24"/>
          <w:szCs w:val="24"/>
          <w:lang w:bidi="fa-IR"/>
        </w:rPr>
        <w:t xml:space="preserve"> is needed.</w:t>
      </w:r>
    </w:p>
    <w:p w:rsidR="00430C2E" w:rsidRPr="003B343C" w:rsidRDefault="00430C2E" w:rsidP="00F72DE5">
      <w:pPr>
        <w:spacing w:line="480" w:lineRule="auto"/>
        <w:jc w:val="both"/>
        <w:rPr>
          <w:rFonts w:asciiTheme="majorBidi" w:eastAsia="Calibri" w:hAnsiTheme="majorBidi" w:cstheme="majorBidi"/>
          <w:sz w:val="24"/>
          <w:szCs w:val="24"/>
          <w:rtl/>
          <w:lang w:bidi="fa-IR"/>
        </w:rPr>
      </w:pPr>
      <w:r w:rsidRPr="003B343C">
        <w:rPr>
          <w:rFonts w:asciiTheme="majorBidi" w:eastAsia="Calibri" w:hAnsiTheme="majorBidi" w:cstheme="majorBidi"/>
          <w:sz w:val="24"/>
          <w:szCs w:val="24"/>
        </w:rPr>
        <w:t>The buffer used for coating was bicarbonate carbonate buffer with amino acid pH= 9.2, and the neutral protein contained in it was negatively charged. Because of the positive charge of the plate, the Maxisorp can easily attach to it and establish a solid bond.</w:t>
      </w:r>
    </w:p>
    <w:p w:rsidR="00430C2E" w:rsidRPr="003B343C" w:rsidRDefault="00430C2E" w:rsidP="00F72DE5">
      <w:pPr>
        <w:spacing w:line="480" w:lineRule="auto"/>
        <w:jc w:val="both"/>
        <w:rPr>
          <w:rFonts w:asciiTheme="majorBidi" w:eastAsia="Calibri" w:hAnsiTheme="majorBidi" w:cstheme="majorBidi"/>
          <w:sz w:val="24"/>
          <w:szCs w:val="24"/>
          <w:rtl/>
        </w:rPr>
      </w:pPr>
      <w:r w:rsidRPr="003B343C">
        <w:rPr>
          <w:rFonts w:asciiTheme="majorBidi" w:eastAsia="Calibri" w:hAnsiTheme="majorBidi" w:cstheme="majorBidi"/>
          <w:sz w:val="24"/>
          <w:szCs w:val="24"/>
        </w:rPr>
        <w:t xml:space="preserve">The amount of coated virus by considering the specificity of Maxisorp </w:t>
      </w:r>
      <w:r w:rsidRPr="0099105C">
        <w:rPr>
          <w:rFonts w:asciiTheme="majorBidi" w:eastAsia="Calibri" w:hAnsiTheme="majorBidi" w:cstheme="majorBidi"/>
          <w:sz w:val="24"/>
          <w:szCs w:val="24"/>
        </w:rPr>
        <w:t>Plate was</w:t>
      </w:r>
      <w:r w:rsidRPr="003B343C">
        <w:rPr>
          <w:rFonts w:asciiTheme="majorBidi" w:eastAsia="Calibri" w:hAnsiTheme="majorBidi" w:cstheme="majorBidi"/>
          <w:sz w:val="24"/>
          <w:szCs w:val="24"/>
        </w:rPr>
        <w:t xml:space="preserve"> 1600 to 650 ng immunoglobulin G per Cm², and the area of each well was 0.3 cm in square. </w:t>
      </w:r>
    </w:p>
    <w:p w:rsidR="00430C2E" w:rsidRPr="003B343C" w:rsidRDefault="00430C2E" w:rsidP="00F72DE5">
      <w:pPr>
        <w:spacing w:line="480" w:lineRule="auto"/>
        <w:jc w:val="both"/>
        <w:rPr>
          <w:rFonts w:asciiTheme="majorBidi" w:eastAsia="Calibri" w:hAnsiTheme="majorBidi" w:cstheme="majorBidi"/>
          <w:sz w:val="24"/>
          <w:szCs w:val="24"/>
          <w:rtl/>
        </w:rPr>
      </w:pPr>
      <w:r w:rsidRPr="003B343C">
        <w:rPr>
          <w:rFonts w:asciiTheme="majorBidi" w:eastAsia="Calibri" w:hAnsiTheme="majorBidi" w:cstheme="majorBidi"/>
          <w:sz w:val="24"/>
          <w:szCs w:val="24"/>
        </w:rPr>
        <w:lastRenderedPageBreak/>
        <w:t>The IgG coating capacity in each well was between 180 and 195 ng. In this study, the amount of 1 microgram per well or 20 micrograms per ml was determined; due to the limited capacity of coating in each well, a large amount of these viruses will be washed out from the well. By calculating using the usual formulas that are mentioned in the procedure, the sensitivity was 100% and the attribute value was 82%.</w:t>
      </w:r>
      <w:r w:rsidRPr="003B343C">
        <w:rPr>
          <w:rFonts w:asciiTheme="majorBidi" w:eastAsia="Calibri" w:hAnsiTheme="majorBidi" w:cstheme="majorBidi"/>
          <w:sz w:val="24"/>
          <w:szCs w:val="24"/>
          <w:rtl/>
        </w:rPr>
        <w:t xml:space="preserve"> </w:t>
      </w:r>
      <w:r w:rsidRPr="003B343C">
        <w:rPr>
          <w:rFonts w:asciiTheme="majorBidi" w:eastAsia="Calibri" w:hAnsiTheme="majorBidi" w:cstheme="majorBidi"/>
          <w:sz w:val="24"/>
          <w:szCs w:val="24"/>
        </w:rPr>
        <w:t>This means that all the samples that were positive in the SN test having antibody titer at protective level were diagnosed positive based on indirect ELISA. Of all the samples that were negative in terms of SN, 82% were detected negative based on indirect ELISA; and 18% error was detected in the negative samples.</w:t>
      </w:r>
      <w:r w:rsidRPr="003B343C">
        <w:rPr>
          <w:rFonts w:asciiTheme="majorBidi" w:eastAsia="Calibri" w:hAnsiTheme="majorBidi" w:cstheme="majorBidi"/>
          <w:sz w:val="24"/>
          <w:szCs w:val="24"/>
          <w:rtl/>
        </w:rPr>
        <w:t xml:space="preserve"> </w:t>
      </w:r>
    </w:p>
    <w:p w:rsidR="00430C2E" w:rsidRPr="003B343C" w:rsidRDefault="00430C2E" w:rsidP="00F72DE5">
      <w:pPr>
        <w:spacing w:line="480" w:lineRule="auto"/>
        <w:jc w:val="both"/>
        <w:rPr>
          <w:rFonts w:asciiTheme="majorBidi" w:eastAsia="Calibri" w:hAnsiTheme="majorBidi" w:cstheme="majorBidi"/>
          <w:sz w:val="24"/>
          <w:szCs w:val="24"/>
          <w:rtl/>
        </w:rPr>
      </w:pPr>
      <w:r w:rsidRPr="003B343C">
        <w:rPr>
          <w:rFonts w:asciiTheme="majorBidi" w:eastAsia="Calibri" w:hAnsiTheme="majorBidi" w:cstheme="majorBidi"/>
          <w:sz w:val="24"/>
          <w:szCs w:val="24"/>
        </w:rPr>
        <w:t>In the second method, which was calculated by Rock analysis in SPSS software, the sensitivity was 100% and the attribute value was calculated as 90%.</w:t>
      </w:r>
    </w:p>
    <w:p w:rsidR="00430C2E" w:rsidRPr="003B343C" w:rsidRDefault="00430C2E" w:rsidP="00F72DE5">
      <w:pPr>
        <w:spacing w:line="480" w:lineRule="auto"/>
        <w:jc w:val="both"/>
        <w:rPr>
          <w:rFonts w:asciiTheme="majorBidi" w:eastAsia="Calibri" w:hAnsiTheme="majorBidi" w:cstheme="majorBidi"/>
          <w:sz w:val="24"/>
          <w:szCs w:val="24"/>
          <w:rtl/>
        </w:rPr>
      </w:pPr>
      <w:r w:rsidRPr="003B343C">
        <w:rPr>
          <w:rFonts w:asciiTheme="majorBidi" w:eastAsia="Calibri" w:hAnsiTheme="majorBidi" w:cstheme="majorBidi"/>
          <w:sz w:val="24"/>
          <w:szCs w:val="24"/>
        </w:rPr>
        <w:t>In similar researches done by Jitendra, 6% of samples from the regions where the disease was not observed had antibody titers that were considered as false positive, with a sensitivity of 95.3% and 94.3% specificity; and CV% error was also within accep</w:t>
      </w:r>
      <w:r>
        <w:rPr>
          <w:rFonts w:asciiTheme="majorBidi" w:eastAsia="Calibri" w:hAnsiTheme="majorBidi" w:cstheme="majorBidi"/>
          <w:sz w:val="24"/>
          <w:szCs w:val="24"/>
        </w:rPr>
        <w:t>table</w:t>
      </w:r>
      <w:r w:rsidRPr="003B343C">
        <w:rPr>
          <w:rFonts w:asciiTheme="majorBidi" w:eastAsia="Calibri" w:hAnsiTheme="majorBidi" w:cstheme="majorBidi"/>
          <w:sz w:val="24"/>
          <w:szCs w:val="24"/>
        </w:rPr>
        <w:t xml:space="preserve"> range. </w:t>
      </w:r>
      <w:r w:rsidRPr="003B343C">
        <w:rPr>
          <w:rFonts w:asciiTheme="majorBidi" w:eastAsia="Calibri" w:hAnsiTheme="majorBidi" w:cstheme="majorBidi"/>
          <w:noProof/>
          <w:sz w:val="24"/>
          <w:szCs w:val="24"/>
        </w:rPr>
        <w:t>Ming Yang</w:t>
      </w:r>
      <w:r w:rsidRPr="003B343C">
        <w:rPr>
          <w:rFonts w:asciiTheme="majorBidi" w:eastAsia="Calibri" w:hAnsiTheme="majorBidi" w:cstheme="majorBidi"/>
          <w:sz w:val="24"/>
          <w:szCs w:val="24"/>
        </w:rPr>
        <w:t xml:space="preserve"> used the competitive ELISA to detect anti-antibody ant protein B3 of FMD virus. The measured sensitivity in his test was 99.4% and the attribute value was 96.4%. Based on his opinion, it is difficult to detect non-structural proteins in the vaccinated population.</w:t>
      </w:r>
    </w:p>
    <w:p w:rsidR="00430C2E" w:rsidRPr="003B343C" w:rsidRDefault="00430C2E" w:rsidP="00F72DE5">
      <w:pPr>
        <w:spacing w:line="480" w:lineRule="auto"/>
        <w:jc w:val="both"/>
        <w:rPr>
          <w:rFonts w:asciiTheme="majorBidi" w:eastAsia="Calibri" w:hAnsiTheme="majorBidi" w:cstheme="majorBidi"/>
          <w:sz w:val="24"/>
          <w:szCs w:val="24"/>
        </w:rPr>
      </w:pPr>
      <w:r w:rsidRPr="003B343C">
        <w:rPr>
          <w:rFonts w:asciiTheme="majorBidi" w:eastAsia="Calibri" w:hAnsiTheme="majorBidi" w:cstheme="majorBidi"/>
          <w:sz w:val="24"/>
          <w:szCs w:val="24"/>
        </w:rPr>
        <w:t>In this study, taking into account, OD Cut off = 0.3, a significant difference was found between vaccinated and unvaccinated animals.</w:t>
      </w:r>
      <w:r w:rsidRPr="003B343C">
        <w:rPr>
          <w:rFonts w:asciiTheme="majorBidi" w:eastAsia="Calibri" w:hAnsiTheme="majorBidi" w:cstheme="majorBidi"/>
          <w:sz w:val="24"/>
          <w:szCs w:val="24"/>
          <w:rtl/>
        </w:rPr>
        <w:t xml:space="preserve"> </w:t>
      </w:r>
      <w:r w:rsidRPr="003B343C">
        <w:rPr>
          <w:rFonts w:asciiTheme="majorBidi" w:eastAsia="Calibri" w:hAnsiTheme="majorBidi" w:cstheme="majorBidi"/>
          <w:sz w:val="24"/>
          <w:szCs w:val="24"/>
        </w:rPr>
        <w:t>In terms of the antibody titer rate, the last dilution where titer was equal or higher than 0.3, was calculated at 1.008 dilutions.</w:t>
      </w:r>
      <w:r w:rsidRPr="003B343C">
        <w:rPr>
          <w:rFonts w:asciiTheme="majorBidi" w:eastAsia="Calibri" w:hAnsiTheme="majorBidi" w:cstheme="majorBidi"/>
          <w:sz w:val="24"/>
          <w:szCs w:val="24"/>
          <w:rtl/>
        </w:rPr>
        <w:t xml:space="preserve"> </w:t>
      </w:r>
      <w:r w:rsidRPr="003B343C">
        <w:rPr>
          <w:rFonts w:asciiTheme="majorBidi" w:eastAsia="Calibri" w:hAnsiTheme="majorBidi" w:cstheme="majorBidi"/>
          <w:sz w:val="24"/>
          <w:szCs w:val="24"/>
        </w:rPr>
        <w:t>This means that the serum titer is equal to or greater than 1/8 in the direct ELISA test and indicates that there is a minimum and appropriate antibody level. The amount below this dilution indicates the absence of an appropriate antibody titer, of which this rate in SN experiment is 1.16. This indicates the correctness of the test and the accurate and appropriate diagnosis of antibodies against the types of FMD virus.</w:t>
      </w:r>
    </w:p>
    <w:p w:rsidR="00430C2E" w:rsidRPr="003B343C" w:rsidRDefault="00430C2E" w:rsidP="00F72DE5">
      <w:pPr>
        <w:spacing w:line="480" w:lineRule="auto"/>
        <w:jc w:val="both"/>
        <w:rPr>
          <w:rFonts w:asciiTheme="majorBidi" w:eastAsia="Calibri" w:hAnsiTheme="majorBidi" w:cstheme="majorBidi"/>
          <w:sz w:val="24"/>
          <w:szCs w:val="24"/>
          <w:rtl/>
        </w:rPr>
      </w:pPr>
      <w:r w:rsidRPr="003B343C">
        <w:rPr>
          <w:rFonts w:asciiTheme="majorBidi" w:eastAsia="Calibri" w:hAnsiTheme="majorBidi" w:cstheme="majorBidi"/>
          <w:sz w:val="24"/>
          <w:szCs w:val="24"/>
        </w:rPr>
        <w:lastRenderedPageBreak/>
        <w:t>According to the results, serums having appropriate antibody in this SN test and indirect ELISA were compatible with each other; and in order to express the accuracy and/or the ability of repeating the immunoassay test results in sciences and social sciences and its behavior, two types of error measurements have been invented and they are:</w:t>
      </w:r>
    </w:p>
    <w:p w:rsidR="00430C2E" w:rsidRPr="003B343C" w:rsidRDefault="00430C2E" w:rsidP="00F72DE5">
      <w:pPr>
        <w:spacing w:line="480" w:lineRule="auto"/>
        <w:jc w:val="both"/>
        <w:rPr>
          <w:rFonts w:asciiTheme="majorBidi" w:eastAsia="Calibri" w:hAnsiTheme="majorBidi" w:cstheme="majorBidi"/>
          <w:sz w:val="24"/>
          <w:szCs w:val="24"/>
        </w:rPr>
      </w:pPr>
      <w:r w:rsidRPr="003B343C">
        <w:rPr>
          <w:rFonts w:asciiTheme="majorBidi" w:eastAsia="Calibri" w:hAnsiTheme="majorBidi" w:cstheme="majorBidi"/>
          <w:sz w:val="24"/>
          <w:szCs w:val="24"/>
        </w:rPr>
        <w:t>1. Intra assay Coefficient variability    (CV)</w:t>
      </w:r>
    </w:p>
    <w:p w:rsidR="00430C2E" w:rsidRPr="003B343C" w:rsidRDefault="00430C2E" w:rsidP="00F72DE5">
      <w:pPr>
        <w:spacing w:line="480" w:lineRule="auto"/>
        <w:jc w:val="both"/>
        <w:rPr>
          <w:rFonts w:asciiTheme="majorBidi" w:eastAsia="Calibri" w:hAnsiTheme="majorBidi" w:cstheme="majorBidi"/>
          <w:sz w:val="24"/>
          <w:szCs w:val="24"/>
          <w:rtl/>
        </w:rPr>
      </w:pPr>
      <w:r w:rsidRPr="003B343C">
        <w:rPr>
          <w:rFonts w:asciiTheme="majorBidi" w:eastAsia="Calibri" w:hAnsiTheme="majorBidi" w:cstheme="majorBidi"/>
          <w:sz w:val="24"/>
          <w:szCs w:val="24"/>
        </w:rPr>
        <w:t>2. Inter assay Coefficient variability    (CV)</w:t>
      </w:r>
    </w:p>
    <w:p w:rsidR="00430C2E" w:rsidRPr="003B343C" w:rsidRDefault="00430C2E" w:rsidP="00F72DE5">
      <w:pPr>
        <w:spacing w:line="480" w:lineRule="auto"/>
        <w:jc w:val="both"/>
        <w:rPr>
          <w:rFonts w:asciiTheme="majorBidi" w:eastAsia="Calibri" w:hAnsiTheme="majorBidi" w:cstheme="majorBidi"/>
          <w:sz w:val="24"/>
          <w:szCs w:val="24"/>
          <w:rtl/>
        </w:rPr>
      </w:pPr>
      <w:r w:rsidRPr="003B343C">
        <w:rPr>
          <w:rFonts w:asciiTheme="majorBidi" w:eastAsia="Calibri" w:hAnsiTheme="majorBidi" w:cstheme="majorBidi"/>
          <w:sz w:val="24"/>
          <w:szCs w:val="24"/>
        </w:rPr>
        <w:t xml:space="preserve">CV is a dimensionless number, which is as standard deviation for measuring </w:t>
      </w:r>
      <w:r w:rsidRPr="0099105C">
        <w:rPr>
          <w:rFonts w:asciiTheme="majorBidi" w:eastAsia="Calibri" w:hAnsiTheme="majorBidi" w:cstheme="majorBidi"/>
          <w:sz w:val="24"/>
          <w:szCs w:val="24"/>
        </w:rPr>
        <w:t>what is</w:t>
      </w:r>
      <w:r w:rsidRPr="003B343C">
        <w:rPr>
          <w:rFonts w:asciiTheme="majorBidi" w:eastAsia="Calibri" w:hAnsiTheme="majorBidi" w:cstheme="majorBidi"/>
          <w:sz w:val="24"/>
          <w:szCs w:val="24"/>
        </w:rPr>
        <w:t xml:space="preserve"> distributed in the mediums.</w:t>
      </w:r>
    </w:p>
    <w:p w:rsidR="00430C2E" w:rsidRPr="003B343C" w:rsidRDefault="00430C2E" w:rsidP="00F72DE5">
      <w:pPr>
        <w:spacing w:line="480" w:lineRule="auto"/>
        <w:jc w:val="both"/>
        <w:rPr>
          <w:rFonts w:asciiTheme="majorBidi" w:eastAsia="Calibri" w:hAnsiTheme="majorBidi" w:cstheme="majorBidi"/>
          <w:sz w:val="24"/>
          <w:szCs w:val="24"/>
          <w:rtl/>
        </w:rPr>
      </w:pPr>
      <w:r w:rsidRPr="003B343C">
        <w:rPr>
          <w:rFonts w:asciiTheme="majorBidi" w:eastAsia="Calibri" w:hAnsiTheme="majorBidi" w:cstheme="majorBidi"/>
          <w:sz w:val="24"/>
          <w:szCs w:val="24"/>
        </w:rPr>
        <w:t xml:space="preserve">The method of calculating each error is explained. According to experts such </w:t>
      </w:r>
      <w:r w:rsidRPr="0099105C">
        <w:rPr>
          <w:rFonts w:asciiTheme="majorBidi" w:eastAsia="Calibri" w:hAnsiTheme="majorBidi" w:cstheme="majorBidi"/>
          <w:sz w:val="24"/>
          <w:szCs w:val="24"/>
        </w:rPr>
        <w:t xml:space="preserve">as </w:t>
      </w:r>
      <w:r w:rsidR="001F58E3" w:rsidRPr="0099105C">
        <w:rPr>
          <w:rFonts w:asciiTheme="majorBidi" w:eastAsia="Calibri" w:hAnsiTheme="majorBidi" w:cstheme="majorBidi"/>
          <w:sz w:val="24"/>
          <w:szCs w:val="24"/>
        </w:rPr>
        <w:t>Mannonen</w:t>
      </w:r>
      <w:r w:rsidR="001F58E3">
        <w:rPr>
          <w:rFonts w:asciiTheme="majorBidi" w:eastAsia="Calibri" w:hAnsiTheme="majorBidi" w:cstheme="majorBidi"/>
          <w:sz w:val="24"/>
          <w:szCs w:val="24"/>
        </w:rPr>
        <w:t>,</w:t>
      </w:r>
      <w:r w:rsidRPr="003B343C">
        <w:rPr>
          <w:rFonts w:asciiTheme="majorBidi" w:eastAsia="Calibri" w:hAnsiTheme="majorBidi" w:cstheme="majorBidi"/>
          <w:sz w:val="24"/>
          <w:szCs w:val="24"/>
        </w:rPr>
        <w:t xml:space="preserve"> in 2006, the error rate for the intra </w:t>
      </w:r>
      <w:r w:rsidRPr="0099105C">
        <w:rPr>
          <w:rFonts w:asciiTheme="majorBidi" w:eastAsia="Calibri" w:hAnsiTheme="majorBidi" w:cstheme="majorBidi"/>
          <w:sz w:val="24"/>
          <w:szCs w:val="24"/>
        </w:rPr>
        <w:t>assay is</w:t>
      </w:r>
      <w:r w:rsidRPr="003B343C">
        <w:rPr>
          <w:rFonts w:asciiTheme="majorBidi" w:eastAsia="Calibri" w:hAnsiTheme="majorBidi" w:cstheme="majorBidi"/>
          <w:sz w:val="24"/>
          <w:szCs w:val="24"/>
        </w:rPr>
        <w:t xml:space="preserve"> up to 10% and in the Inter assay it is up to 15%. In the test designed in this study, the Intra-Assay error rate was 6.65% and in the Inter-assay was 3.6%, and both are within the allowed range. In the event that these errors are higher than the limit, the piping is considered to be inappropriate and non-uniform.</w:t>
      </w:r>
    </w:p>
    <w:p w:rsidR="00430C2E" w:rsidRPr="003B343C" w:rsidRDefault="00430C2E" w:rsidP="00F72DE5">
      <w:pPr>
        <w:spacing w:line="480" w:lineRule="auto"/>
        <w:jc w:val="both"/>
        <w:rPr>
          <w:rFonts w:asciiTheme="majorBidi" w:eastAsia="Calibri" w:hAnsiTheme="majorBidi" w:cstheme="majorBidi"/>
          <w:sz w:val="24"/>
          <w:szCs w:val="24"/>
          <w:rtl/>
          <w:lang w:bidi="fa-IR"/>
        </w:rPr>
      </w:pPr>
      <w:r w:rsidRPr="003B343C">
        <w:rPr>
          <w:rFonts w:asciiTheme="majorBidi" w:eastAsia="Calibri" w:hAnsiTheme="majorBidi" w:cstheme="majorBidi"/>
          <w:sz w:val="24"/>
          <w:szCs w:val="24"/>
        </w:rPr>
        <w:t>Measuring antibodies against structural proteins by indirect ELISA method, with less time and cost, as well as higher speed with good sensitivity and specificity will be proper.</w:t>
      </w:r>
      <w:r w:rsidRPr="003B343C">
        <w:rPr>
          <w:rFonts w:asciiTheme="majorBidi" w:eastAsia="Calibri" w:hAnsiTheme="majorBidi" w:cstheme="majorBidi"/>
          <w:sz w:val="24"/>
          <w:szCs w:val="24"/>
          <w:rtl/>
          <w:lang w:bidi="fa-IR"/>
        </w:rPr>
        <w:t xml:space="preserve"> </w:t>
      </w:r>
    </w:p>
    <w:p w:rsidR="00430C2E" w:rsidRPr="003B343C" w:rsidRDefault="00430C2E" w:rsidP="00F72DE5">
      <w:pPr>
        <w:spacing w:line="480" w:lineRule="auto"/>
        <w:jc w:val="both"/>
        <w:rPr>
          <w:rFonts w:asciiTheme="majorBidi" w:eastAsia="Calibri" w:hAnsiTheme="majorBidi" w:cstheme="majorBidi"/>
          <w:sz w:val="24"/>
          <w:szCs w:val="24"/>
          <w:rtl/>
          <w:lang w:bidi="fa-IR"/>
        </w:rPr>
      </w:pPr>
      <w:r w:rsidRPr="003B343C">
        <w:rPr>
          <w:rFonts w:asciiTheme="majorBidi" w:eastAsia="Calibri" w:hAnsiTheme="majorBidi" w:cstheme="majorBidi"/>
          <w:sz w:val="24"/>
          <w:szCs w:val="24"/>
        </w:rPr>
        <w:t>Indirect ELISA test, using full antigen of FMD virus, in determining the antibody titer with the SN test is comparably replaceable; and its results are reliable. Given that among the articles presented by the case-investigators, none actually talked about the use of direct coating of virus complete particle for measuring antibody against FMD virus.</w:t>
      </w:r>
      <w:r w:rsidRPr="003B343C">
        <w:rPr>
          <w:rFonts w:asciiTheme="majorBidi" w:eastAsia="Calibri" w:hAnsiTheme="majorBidi" w:cstheme="majorBidi"/>
          <w:sz w:val="24"/>
          <w:szCs w:val="24"/>
          <w:lang w:bidi="fa-IR"/>
        </w:rPr>
        <w:t xml:space="preserve"> </w:t>
      </w:r>
      <w:r w:rsidRPr="003B343C">
        <w:rPr>
          <w:rFonts w:asciiTheme="majorBidi" w:eastAsia="Calibri" w:hAnsiTheme="majorBidi" w:cstheme="majorBidi"/>
          <w:sz w:val="24"/>
          <w:szCs w:val="24"/>
        </w:rPr>
        <w:t xml:space="preserve">This measure has been taken for the first time and it is an </w:t>
      </w:r>
      <w:r w:rsidRPr="0099105C">
        <w:rPr>
          <w:rFonts w:asciiTheme="majorBidi" w:eastAsia="Calibri" w:hAnsiTheme="majorBidi" w:cstheme="majorBidi"/>
          <w:sz w:val="24"/>
          <w:szCs w:val="24"/>
        </w:rPr>
        <w:t>excellent and</w:t>
      </w:r>
      <w:r w:rsidRPr="003B343C">
        <w:rPr>
          <w:rFonts w:asciiTheme="majorBidi" w:eastAsia="Calibri" w:hAnsiTheme="majorBidi" w:cstheme="majorBidi"/>
          <w:sz w:val="24"/>
          <w:szCs w:val="24"/>
        </w:rPr>
        <w:t xml:space="preserve"> unique point of this research</w:t>
      </w:r>
      <w:r w:rsidR="00CE1700">
        <w:rPr>
          <w:rFonts w:asciiTheme="majorBidi" w:eastAsia="Calibri" w:hAnsiTheme="majorBidi" w:cstheme="majorBidi"/>
          <w:sz w:val="24"/>
          <w:szCs w:val="24"/>
        </w:rPr>
        <w:fldChar w:fldCharType="begin"/>
      </w:r>
      <w:r w:rsidR="006546A9">
        <w:rPr>
          <w:rFonts w:asciiTheme="majorBidi" w:eastAsia="Calibri" w:hAnsiTheme="majorBidi" w:cstheme="majorBidi"/>
          <w:sz w:val="24"/>
          <w:szCs w:val="24"/>
        </w:rPr>
        <w:instrText xml:space="preserve"> ADDIN EN.CITE &lt;EndNote&gt;&lt;Cite&gt;&lt;Author&gt;Jitendra&lt;/Author&gt;&lt;Year&gt;2013&lt;/Year&gt;&lt;RecNum&gt;10&lt;/RecNum&gt;&lt;DisplayText&gt;(Jitendra, Sarita et al. 2013)&lt;/DisplayText&gt;&lt;record&gt;&lt;rec-number&gt;10&lt;/rec-number&gt;&lt;foreign-keys&gt;&lt;key app="EN" db-id="vt2fsf0d69dvz1errz3pwr2cvv5zs9r9fprf"&gt;10&lt;/key&gt;&lt;/foreign-keys&gt;&lt;ref-type name="Journal Article"&gt;17&lt;/ref-type&gt;&lt;contributors&gt;&lt;authors&gt;&lt;author&gt;Jitendra, K Biswal &lt;/author&gt;&lt;author&gt; Sarita, Jena&lt;/author&gt;&lt;author&gt; Jajati ,K&lt;/author&gt;&lt;author&gt; Moha,Patra &lt;/author&gt;&lt;author&gt; Punam, Bisht &lt;/author&gt;&lt;author&gt; Bramhadev ,Pattnaik&lt;/author&gt;&lt;/authors&gt;&lt;/contributors&gt;&lt;titles&gt;&lt;title&gt;Detection of antibodies specific for foot-and-mouth disease virus infection using indirect ELISA based on recombinant nonstructural protein 2B&amp;#xD;&amp;#xD;&lt;/title&gt;&lt;secondary-title&gt;Arch Virol&lt;/secondary-title&gt;&lt;/titles&gt;&lt;periodical&gt;&lt;full-title&gt;Arch Virol&lt;/full-title&gt;&lt;/periodical&gt;&lt;dates&gt;&lt;year&gt;2013&lt;/year&gt;&lt;/dates&gt;&lt;urls&gt;&lt;/urls&gt;&lt;electronic-resource-num&gt;10.1007/s00705-013-1973-3&lt;/electronic-resource-num&gt;&lt;/record&gt;&lt;/Cite&gt;&lt;/EndNote&gt;</w:instrText>
      </w:r>
      <w:r w:rsidR="00CE1700">
        <w:rPr>
          <w:rFonts w:asciiTheme="majorBidi" w:eastAsia="Calibri" w:hAnsiTheme="majorBidi" w:cstheme="majorBidi"/>
          <w:sz w:val="24"/>
          <w:szCs w:val="24"/>
        </w:rPr>
        <w:fldChar w:fldCharType="separate"/>
      </w:r>
      <w:r w:rsidR="00CE1700">
        <w:rPr>
          <w:rFonts w:asciiTheme="majorBidi" w:eastAsia="Calibri" w:hAnsiTheme="majorBidi" w:cstheme="majorBidi"/>
          <w:noProof/>
          <w:sz w:val="24"/>
          <w:szCs w:val="24"/>
        </w:rPr>
        <w:t>(</w:t>
      </w:r>
      <w:hyperlink w:anchor="_ENREF_3" w:tooltip="Jitendra, 2013 #10" w:history="1">
        <w:r w:rsidR="006546A9">
          <w:rPr>
            <w:rFonts w:asciiTheme="majorBidi" w:eastAsia="Calibri" w:hAnsiTheme="majorBidi" w:cstheme="majorBidi"/>
            <w:noProof/>
            <w:sz w:val="24"/>
            <w:szCs w:val="24"/>
          </w:rPr>
          <w:t>Jitendra, Sarita et al. 2013</w:t>
        </w:r>
      </w:hyperlink>
      <w:r w:rsidR="00CE1700">
        <w:rPr>
          <w:rFonts w:asciiTheme="majorBidi" w:eastAsia="Calibri" w:hAnsiTheme="majorBidi" w:cstheme="majorBidi"/>
          <w:noProof/>
          <w:sz w:val="24"/>
          <w:szCs w:val="24"/>
        </w:rPr>
        <w:t>)</w:t>
      </w:r>
      <w:r w:rsidR="00CE1700">
        <w:rPr>
          <w:rFonts w:asciiTheme="majorBidi" w:eastAsia="Calibri" w:hAnsiTheme="majorBidi" w:cstheme="majorBidi"/>
          <w:sz w:val="24"/>
          <w:szCs w:val="24"/>
        </w:rPr>
        <w:fldChar w:fldCharType="end"/>
      </w:r>
      <w:r w:rsidRPr="003B343C">
        <w:rPr>
          <w:rFonts w:asciiTheme="majorBidi" w:eastAsia="Calibri" w:hAnsiTheme="majorBidi" w:cstheme="majorBidi"/>
          <w:sz w:val="24"/>
          <w:szCs w:val="24"/>
        </w:rPr>
        <w:t>.</w:t>
      </w:r>
    </w:p>
    <w:p w:rsidR="00106AAF" w:rsidRDefault="00106AAF" w:rsidP="00485DB3">
      <w:pPr>
        <w:rPr>
          <w:rFonts w:asciiTheme="majorBidi" w:hAnsiTheme="majorBidi" w:cstheme="majorBidi"/>
          <w:sz w:val="24"/>
          <w:szCs w:val="24"/>
        </w:rPr>
      </w:pPr>
    </w:p>
    <w:p w:rsidR="00430C2E" w:rsidRDefault="00430C2E" w:rsidP="00485DB3">
      <w:pPr>
        <w:rPr>
          <w:rFonts w:asciiTheme="majorBidi" w:hAnsiTheme="majorBidi" w:cstheme="majorBidi"/>
          <w:sz w:val="24"/>
          <w:szCs w:val="24"/>
        </w:rPr>
      </w:pPr>
    </w:p>
    <w:p w:rsidR="00430C2E" w:rsidRDefault="00430C2E" w:rsidP="00485DB3">
      <w:pPr>
        <w:rPr>
          <w:rFonts w:asciiTheme="majorBidi" w:hAnsiTheme="majorBidi" w:cstheme="majorBidi"/>
          <w:sz w:val="24"/>
          <w:szCs w:val="24"/>
        </w:rPr>
      </w:pPr>
    </w:p>
    <w:p w:rsidR="00430C2E" w:rsidRPr="006546A9" w:rsidRDefault="006546A9" w:rsidP="00485DB3">
      <w:pPr>
        <w:rPr>
          <w:rFonts w:asciiTheme="majorBidi" w:hAnsiTheme="majorBidi" w:cstheme="majorBidi"/>
          <w:b/>
          <w:bCs/>
          <w:sz w:val="24"/>
          <w:szCs w:val="24"/>
        </w:rPr>
      </w:pPr>
      <w:r w:rsidRPr="006546A9">
        <w:rPr>
          <w:rFonts w:asciiTheme="majorBidi" w:hAnsiTheme="majorBidi" w:cstheme="majorBidi"/>
          <w:b/>
          <w:bCs/>
          <w:sz w:val="24"/>
          <w:szCs w:val="24"/>
        </w:rPr>
        <w:t xml:space="preserve">Reference  </w:t>
      </w:r>
    </w:p>
    <w:p w:rsidR="006546A9" w:rsidRDefault="006546A9" w:rsidP="006546A9">
      <w:pPr>
        <w:tabs>
          <w:tab w:val="left" w:pos="3360"/>
        </w:tabs>
        <w:rPr>
          <w:rFonts w:asciiTheme="majorBidi" w:hAnsiTheme="majorBidi" w:cstheme="majorBidi"/>
          <w:sz w:val="24"/>
          <w:szCs w:val="24"/>
        </w:rPr>
      </w:pPr>
    </w:p>
    <w:p w:rsidR="00F74BF2" w:rsidRPr="00154645" w:rsidRDefault="00F74BF2" w:rsidP="00F74BF2">
      <w:pPr>
        <w:pStyle w:val="ListParagraph"/>
        <w:numPr>
          <w:ilvl w:val="0"/>
          <w:numId w:val="3"/>
        </w:numPr>
        <w:spacing w:after="0" w:line="240" w:lineRule="auto"/>
        <w:rPr>
          <w:rFonts w:asciiTheme="majorBidi" w:hAnsiTheme="majorBidi" w:cstheme="majorBidi"/>
          <w:noProof/>
          <w:sz w:val="24"/>
          <w:szCs w:val="24"/>
        </w:rPr>
      </w:pPr>
      <w:bookmarkStart w:id="1" w:name="_ENREF_1"/>
      <w:r w:rsidRPr="00154645">
        <w:rPr>
          <w:rFonts w:asciiTheme="majorBidi" w:hAnsiTheme="majorBidi" w:cstheme="majorBidi"/>
          <w:noProof/>
          <w:sz w:val="24"/>
          <w:szCs w:val="24"/>
        </w:rPr>
        <w:t>Abdollahi, D. and M. Meshkat (2004). "Foot and Mouth Disease status in The Islamic Republic of Iran." Country report.</w:t>
      </w:r>
      <w:bookmarkEnd w:id="1"/>
    </w:p>
    <w:p w:rsidR="00F74BF2" w:rsidRPr="00154645" w:rsidRDefault="00F74BF2" w:rsidP="00F74BF2">
      <w:pPr>
        <w:pStyle w:val="ListParagraph"/>
        <w:numPr>
          <w:ilvl w:val="0"/>
          <w:numId w:val="3"/>
        </w:numPr>
        <w:spacing w:after="0" w:line="240" w:lineRule="auto"/>
        <w:rPr>
          <w:rFonts w:asciiTheme="majorBidi" w:hAnsiTheme="majorBidi" w:cstheme="majorBidi"/>
          <w:noProof/>
          <w:sz w:val="24"/>
          <w:szCs w:val="24"/>
        </w:rPr>
      </w:pPr>
      <w:bookmarkStart w:id="2" w:name="_ENREF_2"/>
      <w:r w:rsidRPr="00154645">
        <w:rPr>
          <w:rFonts w:asciiTheme="majorBidi" w:hAnsiTheme="majorBidi" w:cstheme="majorBidi"/>
          <w:noProof/>
          <w:sz w:val="24"/>
          <w:szCs w:val="24"/>
        </w:rPr>
        <w:t>Jamal, S. and G. Belsham (2013 ). "Foot-and-mouth disease: past, present and future." Vet Res.</w:t>
      </w:r>
      <w:bookmarkEnd w:id="2"/>
    </w:p>
    <w:p w:rsidR="00F74BF2" w:rsidRPr="00154645" w:rsidRDefault="00F74BF2" w:rsidP="00F74BF2">
      <w:pPr>
        <w:pStyle w:val="ListParagraph"/>
        <w:numPr>
          <w:ilvl w:val="0"/>
          <w:numId w:val="3"/>
        </w:numPr>
        <w:spacing w:line="240" w:lineRule="auto"/>
        <w:rPr>
          <w:rFonts w:asciiTheme="majorBidi" w:hAnsiTheme="majorBidi" w:cstheme="majorBidi"/>
          <w:noProof/>
          <w:sz w:val="24"/>
          <w:szCs w:val="24"/>
        </w:rPr>
      </w:pPr>
      <w:bookmarkStart w:id="3" w:name="_ENREF_3"/>
      <w:r w:rsidRPr="00154645">
        <w:rPr>
          <w:rFonts w:asciiTheme="majorBidi" w:hAnsiTheme="majorBidi" w:cstheme="majorBidi"/>
          <w:noProof/>
          <w:sz w:val="24"/>
          <w:szCs w:val="24"/>
        </w:rPr>
        <w:t>Jitendra, K. B., J. Sarita, K. Jajati , P. Moha, B. Punam and P. Bramhadev (2013). "Detection of antibodies specific for foot-and-mouth disease virus infection using indirect ELISA based on recombinant nonstructural protein 2B Arch Virol.</w:t>
      </w:r>
    </w:p>
    <w:bookmarkEnd w:id="3"/>
    <w:p w:rsidR="006546A9" w:rsidRPr="00154645" w:rsidRDefault="006546A9" w:rsidP="00F74BF2">
      <w:pPr>
        <w:pStyle w:val="ListParagraph"/>
        <w:numPr>
          <w:ilvl w:val="0"/>
          <w:numId w:val="3"/>
        </w:numPr>
        <w:spacing w:after="0" w:line="240" w:lineRule="auto"/>
        <w:rPr>
          <w:rFonts w:asciiTheme="majorBidi" w:hAnsiTheme="majorBidi" w:cstheme="majorBidi"/>
          <w:noProof/>
          <w:sz w:val="24"/>
          <w:szCs w:val="24"/>
        </w:rPr>
      </w:pPr>
      <w:r w:rsidRPr="00154645">
        <w:rPr>
          <w:rFonts w:asciiTheme="majorBidi" w:hAnsiTheme="majorBidi" w:cstheme="majorBidi"/>
          <w:sz w:val="24"/>
          <w:szCs w:val="24"/>
        </w:rPr>
        <w:fldChar w:fldCharType="begin"/>
      </w:r>
      <w:r w:rsidRPr="00154645">
        <w:rPr>
          <w:rFonts w:asciiTheme="majorBidi" w:hAnsiTheme="majorBidi" w:cstheme="majorBidi"/>
          <w:sz w:val="24"/>
          <w:szCs w:val="24"/>
        </w:rPr>
        <w:instrText xml:space="preserve"> ADDIN EN.REFLIST </w:instrText>
      </w:r>
      <w:r w:rsidRPr="00154645">
        <w:rPr>
          <w:rFonts w:asciiTheme="majorBidi" w:hAnsiTheme="majorBidi" w:cstheme="majorBidi"/>
          <w:sz w:val="24"/>
          <w:szCs w:val="24"/>
        </w:rPr>
        <w:fldChar w:fldCharType="separate"/>
      </w:r>
      <w:bookmarkStart w:id="4" w:name="_ENREF_4"/>
      <w:r w:rsidR="00F74BF2" w:rsidRPr="00154645">
        <w:rPr>
          <w:rFonts w:asciiTheme="majorBidi" w:hAnsiTheme="majorBidi" w:cstheme="majorBidi"/>
          <w:noProof/>
          <w:sz w:val="24"/>
          <w:szCs w:val="24"/>
        </w:rPr>
        <w:t xml:space="preserve"> </w:t>
      </w:r>
      <w:r w:rsidRPr="00154645">
        <w:rPr>
          <w:rFonts w:asciiTheme="majorBidi" w:hAnsiTheme="majorBidi" w:cstheme="majorBidi"/>
          <w:noProof/>
          <w:sz w:val="24"/>
          <w:szCs w:val="24"/>
        </w:rPr>
        <w:t>Oh, J., D. Song, J. Yang , J. Song, H. Moon, T. Kim and B. Park (2005). "Comparison of an enzyme-linked immunosorbent assay with serum neutralization test for serodiagnosis of porcine epidemic diarrhea virus infection." J Vet Sci. : 349-352.</w:t>
      </w:r>
      <w:bookmarkEnd w:id="4"/>
    </w:p>
    <w:p w:rsidR="006546A9" w:rsidRPr="00154645" w:rsidRDefault="006546A9" w:rsidP="00F74BF2">
      <w:pPr>
        <w:pStyle w:val="ListParagraph"/>
        <w:numPr>
          <w:ilvl w:val="0"/>
          <w:numId w:val="3"/>
        </w:numPr>
        <w:spacing w:line="240" w:lineRule="auto"/>
        <w:rPr>
          <w:rFonts w:asciiTheme="majorBidi" w:hAnsiTheme="majorBidi" w:cstheme="majorBidi"/>
          <w:noProof/>
          <w:sz w:val="24"/>
          <w:szCs w:val="24"/>
        </w:rPr>
      </w:pPr>
      <w:bookmarkStart w:id="5" w:name="_ENREF_5"/>
      <w:r w:rsidRPr="00154645">
        <w:rPr>
          <w:rFonts w:asciiTheme="majorBidi" w:hAnsiTheme="majorBidi" w:cstheme="majorBidi"/>
          <w:noProof/>
          <w:sz w:val="24"/>
          <w:szCs w:val="24"/>
        </w:rPr>
        <w:t>Yang , M., S. Parida , T. Salo, K. Hole, L. Velazquez-Salinas and A. Clavijo (2015). "Development of a Competitive Enzyme-Linked Immunosorbent Assay for Detection of Antibodies against the 3B Protein of Foot-and-Mouth Disease Virus." Clin Vaccine Immunol.: 389-397.</w:t>
      </w:r>
      <w:bookmarkEnd w:id="5"/>
    </w:p>
    <w:p w:rsidR="00430C2E" w:rsidRDefault="006546A9" w:rsidP="00154645">
      <w:pPr>
        <w:ind w:left="207"/>
      </w:pPr>
      <w:r w:rsidRPr="00154645">
        <w:rPr>
          <w:rFonts w:asciiTheme="majorBidi" w:hAnsiTheme="majorBidi" w:cstheme="majorBidi"/>
          <w:sz w:val="24"/>
          <w:szCs w:val="24"/>
        </w:rPr>
        <w:fldChar w:fldCharType="end"/>
      </w:r>
    </w:p>
    <w:p w:rsidR="00430C2E" w:rsidRDefault="00430C2E" w:rsidP="00485DB3">
      <w:pPr>
        <w:rPr>
          <w:rFonts w:asciiTheme="majorBidi" w:hAnsiTheme="majorBidi" w:cstheme="majorBidi"/>
          <w:sz w:val="24"/>
          <w:szCs w:val="24"/>
        </w:rPr>
      </w:pPr>
    </w:p>
    <w:p w:rsidR="00430C2E" w:rsidRDefault="00430C2E" w:rsidP="00485DB3">
      <w:pPr>
        <w:rPr>
          <w:rFonts w:asciiTheme="majorBidi" w:hAnsiTheme="majorBidi" w:cstheme="majorBidi"/>
          <w:sz w:val="24"/>
          <w:szCs w:val="24"/>
        </w:rPr>
      </w:pPr>
    </w:p>
    <w:p w:rsidR="00430C2E" w:rsidRDefault="00430C2E" w:rsidP="00485DB3">
      <w:pPr>
        <w:rPr>
          <w:rFonts w:asciiTheme="majorBidi" w:hAnsiTheme="majorBidi" w:cstheme="majorBidi"/>
          <w:sz w:val="24"/>
          <w:szCs w:val="24"/>
        </w:rPr>
      </w:pPr>
    </w:p>
    <w:p w:rsidR="00430C2E" w:rsidRDefault="00430C2E" w:rsidP="00485DB3">
      <w:pPr>
        <w:rPr>
          <w:rFonts w:asciiTheme="majorBidi" w:hAnsiTheme="majorBidi" w:cstheme="majorBidi"/>
          <w:sz w:val="24"/>
          <w:szCs w:val="24"/>
        </w:rPr>
      </w:pPr>
    </w:p>
    <w:p w:rsidR="00430C2E" w:rsidRDefault="00430C2E" w:rsidP="00485DB3">
      <w:pPr>
        <w:rPr>
          <w:rFonts w:asciiTheme="majorBidi" w:hAnsiTheme="majorBidi" w:cstheme="majorBidi"/>
          <w:sz w:val="24"/>
          <w:szCs w:val="24"/>
        </w:rPr>
      </w:pPr>
    </w:p>
    <w:p w:rsidR="00430C2E" w:rsidRDefault="00430C2E" w:rsidP="00485DB3">
      <w:pPr>
        <w:rPr>
          <w:rFonts w:asciiTheme="majorBidi" w:hAnsiTheme="majorBidi" w:cstheme="majorBidi"/>
          <w:sz w:val="24"/>
          <w:szCs w:val="24"/>
        </w:rPr>
      </w:pPr>
    </w:p>
    <w:p w:rsidR="00430C2E" w:rsidRDefault="00430C2E" w:rsidP="00485DB3">
      <w:pPr>
        <w:rPr>
          <w:rFonts w:asciiTheme="majorBidi" w:hAnsiTheme="majorBidi" w:cstheme="majorBidi"/>
          <w:sz w:val="24"/>
          <w:szCs w:val="24"/>
        </w:rPr>
      </w:pPr>
    </w:p>
    <w:p w:rsidR="00430C2E" w:rsidRDefault="00430C2E" w:rsidP="00485DB3">
      <w:pPr>
        <w:rPr>
          <w:rFonts w:asciiTheme="majorBidi" w:hAnsiTheme="majorBidi" w:cstheme="majorBidi"/>
          <w:sz w:val="24"/>
          <w:szCs w:val="24"/>
        </w:rPr>
      </w:pPr>
    </w:p>
    <w:p w:rsidR="00430C2E" w:rsidRDefault="00430C2E" w:rsidP="00485DB3">
      <w:pPr>
        <w:rPr>
          <w:rFonts w:asciiTheme="majorBidi" w:hAnsiTheme="majorBidi" w:cstheme="majorBidi"/>
          <w:sz w:val="24"/>
          <w:szCs w:val="24"/>
        </w:rPr>
      </w:pPr>
    </w:p>
    <w:p w:rsidR="00430C2E" w:rsidRDefault="00430C2E" w:rsidP="00485DB3">
      <w:pPr>
        <w:rPr>
          <w:rFonts w:asciiTheme="majorBidi" w:hAnsiTheme="majorBidi" w:cstheme="majorBidi"/>
          <w:sz w:val="24"/>
          <w:szCs w:val="24"/>
        </w:rPr>
      </w:pPr>
    </w:p>
    <w:p w:rsidR="00430C2E" w:rsidRDefault="00430C2E" w:rsidP="00485DB3">
      <w:pPr>
        <w:rPr>
          <w:rFonts w:asciiTheme="majorBidi" w:hAnsiTheme="majorBidi" w:cstheme="majorBidi"/>
          <w:sz w:val="24"/>
          <w:szCs w:val="24"/>
        </w:rPr>
      </w:pPr>
    </w:p>
    <w:p w:rsidR="00430C2E" w:rsidRDefault="00430C2E" w:rsidP="00485DB3">
      <w:pPr>
        <w:rPr>
          <w:rFonts w:asciiTheme="majorBidi" w:hAnsiTheme="majorBidi" w:cstheme="majorBidi"/>
          <w:sz w:val="24"/>
          <w:szCs w:val="24"/>
        </w:rPr>
      </w:pPr>
    </w:p>
    <w:p w:rsidR="00430C2E" w:rsidRDefault="00430C2E" w:rsidP="00485DB3">
      <w:pPr>
        <w:rPr>
          <w:rFonts w:asciiTheme="majorBidi" w:hAnsiTheme="majorBidi" w:cstheme="majorBidi"/>
          <w:sz w:val="24"/>
          <w:szCs w:val="24"/>
        </w:rPr>
      </w:pPr>
    </w:p>
    <w:p w:rsidR="00430C2E" w:rsidRDefault="00430C2E" w:rsidP="00485DB3">
      <w:pPr>
        <w:rPr>
          <w:rFonts w:asciiTheme="majorBidi" w:hAnsiTheme="majorBidi" w:cstheme="majorBidi"/>
          <w:sz w:val="24"/>
          <w:szCs w:val="24"/>
        </w:rPr>
      </w:pPr>
    </w:p>
    <w:p w:rsidR="00430C2E" w:rsidRPr="00791147" w:rsidRDefault="00430C2E" w:rsidP="00430C2E">
      <w:pPr>
        <w:rPr>
          <w:rFonts w:asciiTheme="majorBidi" w:hAnsiTheme="majorBidi" w:cstheme="majorBidi"/>
          <w:sz w:val="24"/>
          <w:szCs w:val="24"/>
        </w:rPr>
      </w:pPr>
    </w:p>
    <w:sectPr w:rsidR="00430C2E" w:rsidRPr="007911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B1616"/>
    <w:multiLevelType w:val="hybridMultilevel"/>
    <w:tmpl w:val="E49A63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F103F5"/>
    <w:multiLevelType w:val="hybridMultilevel"/>
    <w:tmpl w:val="132E0CF4"/>
    <w:lvl w:ilvl="0" w:tplc="0409000F">
      <w:start w:val="1"/>
      <w:numFmt w:val="decimal"/>
      <w:lvlText w:val="%1."/>
      <w:lvlJc w:val="left"/>
      <w:pPr>
        <w:ind w:left="92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46031C"/>
    <w:multiLevelType w:val="hybridMultilevel"/>
    <w:tmpl w:val="DF4017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vt2fsf0d69dvz1errz3pwr2cvv5zs9r9fprf&quot;&gt;My EndNote Libra Copy&lt;record-ids&gt;&lt;item&gt;1&lt;/item&gt;&lt;item&gt;2&lt;/item&gt;&lt;item&gt;3&lt;/item&gt;&lt;item&gt;4&lt;/item&gt;&lt;item&gt;10&lt;/item&gt;&lt;/record-ids&gt;&lt;/item&gt;&lt;/Libraries&gt;"/>
  </w:docVars>
  <w:rsids>
    <w:rsidRoot w:val="00791147"/>
    <w:rsid w:val="00106AAF"/>
    <w:rsid w:val="00154645"/>
    <w:rsid w:val="001F58E3"/>
    <w:rsid w:val="00222F95"/>
    <w:rsid w:val="002B5109"/>
    <w:rsid w:val="002C5CB6"/>
    <w:rsid w:val="00404256"/>
    <w:rsid w:val="00430C2E"/>
    <w:rsid w:val="00485DB3"/>
    <w:rsid w:val="00631994"/>
    <w:rsid w:val="006546A9"/>
    <w:rsid w:val="00791147"/>
    <w:rsid w:val="007C4250"/>
    <w:rsid w:val="008A5179"/>
    <w:rsid w:val="00A34456"/>
    <w:rsid w:val="00B936B4"/>
    <w:rsid w:val="00C670E9"/>
    <w:rsid w:val="00CE1700"/>
    <w:rsid w:val="00D70EDB"/>
    <w:rsid w:val="00DE6879"/>
    <w:rsid w:val="00F32803"/>
    <w:rsid w:val="00F72DE5"/>
    <w:rsid w:val="00F74B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562BF9-3D84-4A49-86FF-C679068EF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70ED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5DB3"/>
    <w:rPr>
      <w:color w:val="0563C1" w:themeColor="hyperlink"/>
      <w:u w:val="single"/>
    </w:rPr>
  </w:style>
  <w:style w:type="paragraph" w:styleId="NormalWeb">
    <w:name w:val="Normal (Web)"/>
    <w:basedOn w:val="Normal"/>
    <w:uiPriority w:val="99"/>
    <w:semiHidden/>
    <w:unhideWhenUsed/>
    <w:rsid w:val="00430C2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F58E3"/>
    <w:rPr>
      <w:sz w:val="16"/>
      <w:szCs w:val="16"/>
    </w:rPr>
  </w:style>
  <w:style w:type="paragraph" w:styleId="CommentText">
    <w:name w:val="annotation text"/>
    <w:basedOn w:val="Normal"/>
    <w:link w:val="CommentTextChar"/>
    <w:uiPriority w:val="99"/>
    <w:semiHidden/>
    <w:unhideWhenUsed/>
    <w:rsid w:val="001F58E3"/>
    <w:pPr>
      <w:spacing w:line="240" w:lineRule="auto"/>
    </w:pPr>
    <w:rPr>
      <w:sz w:val="20"/>
      <w:szCs w:val="20"/>
    </w:rPr>
  </w:style>
  <w:style w:type="character" w:customStyle="1" w:styleId="CommentTextChar">
    <w:name w:val="Comment Text Char"/>
    <w:basedOn w:val="DefaultParagraphFont"/>
    <w:link w:val="CommentText"/>
    <w:uiPriority w:val="99"/>
    <w:semiHidden/>
    <w:rsid w:val="001F58E3"/>
    <w:rPr>
      <w:sz w:val="20"/>
      <w:szCs w:val="20"/>
    </w:rPr>
  </w:style>
  <w:style w:type="paragraph" w:styleId="CommentSubject">
    <w:name w:val="annotation subject"/>
    <w:basedOn w:val="CommentText"/>
    <w:next w:val="CommentText"/>
    <w:link w:val="CommentSubjectChar"/>
    <w:uiPriority w:val="99"/>
    <w:semiHidden/>
    <w:unhideWhenUsed/>
    <w:rsid w:val="001F58E3"/>
    <w:rPr>
      <w:b/>
      <w:bCs/>
    </w:rPr>
  </w:style>
  <w:style w:type="character" w:customStyle="1" w:styleId="CommentSubjectChar">
    <w:name w:val="Comment Subject Char"/>
    <w:basedOn w:val="CommentTextChar"/>
    <w:link w:val="CommentSubject"/>
    <w:uiPriority w:val="99"/>
    <w:semiHidden/>
    <w:rsid w:val="001F58E3"/>
    <w:rPr>
      <w:b/>
      <w:bCs/>
      <w:sz w:val="20"/>
      <w:szCs w:val="20"/>
    </w:rPr>
  </w:style>
  <w:style w:type="paragraph" w:styleId="BalloonText">
    <w:name w:val="Balloon Text"/>
    <w:basedOn w:val="Normal"/>
    <w:link w:val="BalloonTextChar"/>
    <w:uiPriority w:val="99"/>
    <w:semiHidden/>
    <w:unhideWhenUsed/>
    <w:rsid w:val="001F58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8E3"/>
    <w:rPr>
      <w:rFonts w:ascii="Segoe UI" w:hAnsi="Segoe UI" w:cs="Segoe UI"/>
      <w:sz w:val="18"/>
      <w:szCs w:val="18"/>
    </w:rPr>
  </w:style>
  <w:style w:type="paragraph" w:styleId="ListParagraph">
    <w:name w:val="List Paragraph"/>
    <w:basedOn w:val="Normal"/>
    <w:uiPriority w:val="34"/>
    <w:qFormat/>
    <w:rsid w:val="00F74BF2"/>
    <w:pPr>
      <w:ind w:left="720"/>
      <w:contextualSpacing/>
    </w:pPr>
  </w:style>
  <w:style w:type="character" w:customStyle="1" w:styleId="Heading1Char">
    <w:name w:val="Heading 1 Char"/>
    <w:basedOn w:val="DefaultParagraphFont"/>
    <w:link w:val="Heading1"/>
    <w:uiPriority w:val="9"/>
    <w:rsid w:val="00D70ED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b:Source>
    <b:Tag>Jam13</b:Tag>
    <b:SourceType>JournalArticle</b:SourceType>
    <b:Guid>{64536538-A508-4D65-AB6A-3823471CEDC0}</b:Guid>
    <b:Author>
      <b:Author>
        <b:NameList>
          <b:Person>
            <b:Last>Jamal</b:Last>
            <b:First>SM</b:First>
            <b:Middle>and Belsham,</b:Middle>
          </b:Person>
        </b:NameList>
      </b:Author>
    </b:Author>
    <b:Title>Foot-and-mouth disease: past, present and future.</b:Title>
    <b:Year>2013</b:Year>
    <b:Pages>Vet. Res., 44: 1-14.</b:Pages>
    <b:RefOrder>1</b:RefOrder>
  </b:Source>
  <b:Source>
    <b:Tag>Dar14</b:Tag>
    <b:SourceType>Report</b:SourceType>
    <b:Guid>{898F585D-76AA-41BF-A9C0-9E0B4F1F5069}</b:Guid>
    <b:Author>
      <b:Author>
        <b:NameList>
          <b:Person>
            <b:Last>Abdolahi</b:Last>
            <b:First>Darab</b:First>
          </b:Person>
        </b:NameList>
      </b:Author>
    </b:Author>
    <b:Title>FOOT AND MOUTH DISEASE STATUS IN IRAN</b:Title>
    <b:Year>2014</b:Year>
    <b:Publisher>OIE</b:Publisher>
    <b:RefOrder>2</b:RefOrder>
  </b:Source>
  <b:Source>
    <b:Tag>Kaz09</b:Tag>
    <b:SourceType>JournalArticle</b:SourceType>
    <b:Guid>{C56DBAB4-C858-4EC9-89A8-82F8D41A00AC}</b:Guid>
    <b:Author>
      <b:Author>
        <b:NameList>
          <b:Person>
            <b:Last>Kazuki Morioka</b:Last>
            <b:First>*</b:First>
            <b:Middle>Katsuhiko Fukai, Kazuo Yoshida, Reiko Yamazoe, Hiroyuki Onozato,</b:Middle>
          </b:Person>
        </b:NameList>
      </b:Author>
    </b:Author>
    <b:Title>Foot-and-Mouth Disease Virus Antigen Detection Enzyme-Linked Immunosorbent Assay Using Multiserotype-Reactive</b:Title>
    <b:JournalName>JOURNAL OF CLINICAL MICROBIOLOGY</b:JournalName>
    <b:Year>Nov. 2009</b:Year>
    <b:Pages>3663–3668</b:Pages>
    <b:RefOrder>3</b:RefOrder>
  </b:Source>
  <b:Source>
    <b:Tag>Min15</b:Tag>
    <b:SourceType>JournalArticle</b:SourceType>
    <b:Guid>{5A72F376-C89A-4CFF-9EBC-BC0C9955A176}</b:Guid>
    <b:Title>Development of a Competitive Enzyme-Linked Immunosorbent Assay for Detection of Antibodies against the 3B Protein of Foot-and-Mouth Disease Virus</b:Title>
    <b:Year>April 2015</b:Year>
    <b:Author>
      <b:Author>
        <b:NameList>
          <b:Person>
            <b:Last>Ming Yang</b:Last>
            <b:First>a</b:First>
            <b:Middle>Satya Parida,b Tim Salo,a Kate Hole,a Lauro Velazquez-Salinas,c* Alfonso Clavijoa*</b:Middle>
          </b:Person>
        </b:NameList>
      </b:Author>
    </b:Author>
    <b:Pages>4</b:Pages>
    <b:JournalName>journals.ASM.org</b:JournalName>
    <b:RefOrder>4</b:RefOrder>
  </b:Source>
  <b:Source>
    <b:Tag>Jin05</b:Tag>
    <b:SourceType>JournalArticle</b:SourceType>
    <b:Guid>{06B938F3-4339-4960-AA4D-041C0DB46DE8}</b:Guid>
    <b:Author>
      <b:Author>
        <b:NameList>
          <b:Person>
            <b:Last>Jin Sik Oh</b:Last>
            <b:First>Dae</b:First>
            <b:Middle>Sub Song, Jeong Sun Yang, Ju Young Song, Hyoung Joon Moon, Tae Yung Kim,</b:Middle>
          </b:Person>
        </b:NameList>
      </b:Author>
    </b:Author>
    <b:Title>Comparison of an enzyme-linked immunosorbent assay with serum neutralization test for serodiagnosis of porcine epidemic diarrhea</b:Title>
    <b:JournalName>Veterinary science </b:JournalName>
    <b:Year>2005</b:Year>
    <b:Pages>349-352</b:Pages>
    <b:RefOrder>5</b:RefOrder>
  </b:Source>
</b:Sources>
</file>

<file path=customXml/itemProps1.xml><?xml version="1.0" encoding="utf-8"?>
<ds:datastoreItem xmlns:ds="http://schemas.openxmlformats.org/officeDocument/2006/customXml" ds:itemID="{A5740D8D-781E-4066-9880-8E9C60595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18</Pages>
  <Words>5305</Words>
  <Characters>30242</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35477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 www.Win2Farsi.com</dc:creator>
  <cp:keywords/>
  <dc:description/>
  <cp:lastModifiedBy>MRT www.Win2Farsi.com</cp:lastModifiedBy>
  <cp:revision>14</cp:revision>
  <dcterms:created xsi:type="dcterms:W3CDTF">2017-10-15T09:24:00Z</dcterms:created>
  <dcterms:modified xsi:type="dcterms:W3CDTF">2017-11-07T09:59:00Z</dcterms:modified>
</cp:coreProperties>
</file>