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097" w:rsidRPr="005079B9" w:rsidRDefault="005079B9" w:rsidP="00007097">
      <w:pPr>
        <w:pStyle w:val="Heading1"/>
        <w:spacing w:before="170"/>
        <w:ind w:left="0"/>
      </w:pPr>
      <w:r w:rsidRPr="005079B9">
        <w:rPr>
          <w:rFonts w:cs="Times New Roman"/>
          <w:color w:val="4F81BD" w:themeColor="accent1"/>
        </w:rPr>
        <w:t>Does green space matter?</w:t>
      </w:r>
      <w:r w:rsidRPr="005079B9">
        <w:rPr>
          <w:rFonts w:cs="Times New Roman"/>
          <w:b w:val="0"/>
          <w:color w:val="4F81BD" w:themeColor="accent1"/>
        </w:rPr>
        <w:t xml:space="preserve"> </w:t>
      </w:r>
      <w:r w:rsidRPr="005079B9">
        <w:rPr>
          <w:rFonts w:cs="Times New Roman"/>
          <w:color w:val="4F81BD" w:themeColor="accent1"/>
        </w:rPr>
        <w:t>Exploring relationships between green space type, physical activity, quality of life, and cardiovascular disease prevalence</w:t>
      </w:r>
    </w:p>
    <w:p w:rsidR="00007097" w:rsidRDefault="005079B9" w:rsidP="00007097">
      <w:pPr>
        <w:pStyle w:val="BodyText"/>
        <w:spacing w:before="73" w:line="198" w:lineRule="exact"/>
        <w:ind w:left="100" w:right="5987"/>
        <w:rPr>
          <w:rFonts w:ascii="Arial"/>
        </w:rPr>
      </w:pPr>
      <w:r>
        <w:rPr>
          <w:rFonts w:ascii="Arial"/>
        </w:rPr>
        <w:t xml:space="preserve">Abdullah </w:t>
      </w:r>
      <w:proofErr w:type="spellStart"/>
      <w:r>
        <w:rPr>
          <w:rFonts w:ascii="Arial"/>
        </w:rPr>
        <w:t>Akpinar</w:t>
      </w:r>
      <w:proofErr w:type="spellEnd"/>
      <w:r w:rsidR="00007097">
        <w:rPr>
          <w:rFonts w:ascii="Arial"/>
        </w:rPr>
        <w:t>, PhD,</w:t>
      </w:r>
      <w:r w:rsidR="003D4647">
        <w:rPr>
          <w:rFonts w:ascii="Arial"/>
        </w:rPr>
        <w:t xml:space="preserve"> MSc,</w:t>
      </w:r>
      <w:r w:rsidR="00007097">
        <w:rPr>
          <w:rFonts w:ascii="Arial"/>
        </w:rPr>
        <w:t xml:space="preserve"> </w:t>
      </w:r>
      <w:r>
        <w:rPr>
          <w:rFonts w:ascii="Arial"/>
        </w:rPr>
        <w:t>Adnan Menderes University Turkey</w:t>
      </w:r>
    </w:p>
    <w:p w:rsidR="00007097" w:rsidRDefault="00007097" w:rsidP="00007097">
      <w:pPr>
        <w:pStyle w:val="BodyText"/>
        <w:rPr>
          <w:rFonts w:ascii="Arial"/>
          <w:sz w:val="20"/>
        </w:rPr>
      </w:pPr>
    </w:p>
    <w:p w:rsidR="00007097" w:rsidRDefault="00007097" w:rsidP="00007097">
      <w:pPr>
        <w:pStyle w:val="BodyText"/>
        <w:spacing w:before="3"/>
        <w:rPr>
          <w:rFonts w:ascii="Arial"/>
          <w:sz w:val="21"/>
        </w:rPr>
      </w:pPr>
    </w:p>
    <w:p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rsidR="00007097" w:rsidRDefault="00007097" w:rsidP="00007097">
      <w:pPr>
        <w:pStyle w:val="Heading3"/>
        <w:spacing w:before="147"/>
        <w:jc w:val="both"/>
      </w:pPr>
      <w:r>
        <w:rPr>
          <w:color w:val="BF5A14"/>
        </w:rPr>
        <w:t>Abstract (300 word limit)</w:t>
      </w:r>
    </w:p>
    <w:p w:rsidR="00503DFC" w:rsidRPr="00503DFC" w:rsidRDefault="00503DFC" w:rsidP="00503DFC">
      <w:pPr>
        <w:pStyle w:val="BodyText"/>
        <w:spacing w:before="90" w:line="280" w:lineRule="auto"/>
        <w:ind w:left="100"/>
        <w:jc w:val="both"/>
        <w:rPr>
          <w:rFonts w:cs="Times New Roman"/>
        </w:rPr>
      </w:pPr>
      <w:r w:rsidRPr="00503DFC">
        <w:rPr>
          <w:rFonts w:cs="Times New Roman"/>
        </w:rPr>
        <w:t xml:space="preserve">This study explores whether specific types of green spaces (i.e. urban green spaces, forests, agricultural lands, rangelands, and wetlands) are associated with physical activity, quality of life, and cardiovascular disease prevalence. A sample of 8,976 respondents from the Behavioral Risk Factor Surveillance System, conducted in 2006 in Washington State across 291 zip-codes, was analyzed. Measures included physical activity status, quality of life, and cardiovascular disease prevalence (i.e. heart attack, angina, and stroke). Percentage of green spaces was derived from the National Land Cover Dataset. Multilevel regression analyses were conducted to analyze the data while controlling for age, sex, race, weight, marital status, occupation, income, education level, and zip-code population and socio-economic situation. Regression results reveal that no green space types were not associated with physical activity, quality of life, and cardiovascular disease prevalence. On the other hand, the analysis shows that physical activity was associated with quality of life, and cardiovascular disease prevalence. The findings suggest that other factors such as naturalness, structure and distribution (sprawled or concentrated, large or small), quality, and characteristics of green space might be important in quality of life and cardiovascular disease prevalence rather than green space types. Therefore, further investigations are needed.  </w:t>
      </w:r>
    </w:p>
    <w:p w:rsidR="00007097" w:rsidRDefault="00007097" w:rsidP="00007097">
      <w:pPr>
        <w:pStyle w:val="Heading3"/>
        <w:spacing w:before="74"/>
      </w:pPr>
      <w:r>
        <w:rPr>
          <w:b w:val="0"/>
        </w:rPr>
        <w:br w:type="column"/>
      </w:r>
      <w:r>
        <w:rPr>
          <w:color w:val="BF5A14"/>
        </w:rPr>
        <w:t>Image</w:t>
      </w:r>
    </w:p>
    <w:p w:rsidR="00007097" w:rsidRDefault="00503DFC" w:rsidP="00007097">
      <w:pPr>
        <w:pStyle w:val="BodyText"/>
        <w:spacing w:before="2"/>
        <w:rPr>
          <w:rFonts w:ascii="Arial"/>
          <w:b/>
          <w:sz w:val="16"/>
        </w:rPr>
      </w:pPr>
      <w:r>
        <w:rPr>
          <w:rFonts w:ascii="Arial"/>
          <w:b/>
          <w:noProof/>
          <w:sz w:val="16"/>
        </w:rPr>
        <w:drawing>
          <wp:inline distT="0" distB="0" distL="0" distR="0">
            <wp:extent cx="3165475" cy="28371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ceptual model.jpg"/>
                    <pic:cNvPicPr/>
                  </pic:nvPicPr>
                  <pic:blipFill>
                    <a:blip r:embed="rId9">
                      <a:extLst>
                        <a:ext uri="{28A0092B-C50C-407E-A947-70E740481C1C}">
                          <a14:useLocalDpi xmlns:a14="http://schemas.microsoft.com/office/drawing/2010/main" val="0"/>
                        </a:ext>
                      </a:extLst>
                    </a:blip>
                    <a:stretch>
                      <a:fillRect/>
                    </a:stretch>
                  </pic:blipFill>
                  <pic:spPr>
                    <a:xfrm>
                      <a:off x="0" y="0"/>
                      <a:ext cx="3165475" cy="2837180"/>
                    </a:xfrm>
                    <a:prstGeom prst="rect">
                      <a:avLst/>
                    </a:prstGeom>
                  </pic:spPr>
                </pic:pic>
              </a:graphicData>
            </a:graphic>
          </wp:inline>
        </w:drawing>
      </w:r>
    </w:p>
    <w:p w:rsidR="00007097" w:rsidRPr="001778BA" w:rsidRDefault="00007097" w:rsidP="00007097">
      <w:pPr>
        <w:spacing w:line="204" w:lineRule="exact"/>
        <w:rPr>
          <w:rFonts w:ascii="Arial"/>
          <w:b/>
          <w:sz w:val="20"/>
          <w:lang w:val="tr-TR"/>
        </w:rPr>
      </w:pPr>
      <w:r>
        <w:rPr>
          <w:rFonts w:ascii="Arial"/>
          <w:b/>
          <w:color w:val="BF5A14"/>
          <w:sz w:val="20"/>
        </w:rPr>
        <w:br/>
        <w:t>Recent Publications (minimum 5)</w:t>
      </w:r>
    </w:p>
    <w:p w:rsidR="002B3735" w:rsidRPr="000A5CC9" w:rsidRDefault="002B3735" w:rsidP="00141F00">
      <w:pPr>
        <w:pStyle w:val="ListParagraph"/>
        <w:widowControl/>
        <w:numPr>
          <w:ilvl w:val="0"/>
          <w:numId w:val="3"/>
        </w:numPr>
        <w:tabs>
          <w:tab w:val="left" w:pos="384"/>
        </w:tabs>
        <w:autoSpaceDE w:val="0"/>
        <w:autoSpaceDN w:val="0"/>
        <w:adjustRightInd w:val="0"/>
        <w:spacing w:before="103" w:line="216" w:lineRule="exact"/>
        <w:ind w:right="138"/>
        <w:rPr>
          <w:rFonts w:asciiTheme="minorHAnsi" w:hAnsiTheme="minorHAnsi" w:cstheme="minorHAnsi"/>
          <w:sz w:val="18"/>
          <w:szCs w:val="18"/>
        </w:rPr>
      </w:pPr>
      <w:proofErr w:type="spellStart"/>
      <w:r w:rsidRPr="000A5CC9">
        <w:rPr>
          <w:rFonts w:asciiTheme="minorHAnsi" w:hAnsiTheme="minorHAnsi" w:cstheme="minorHAnsi"/>
          <w:sz w:val="18"/>
          <w:szCs w:val="18"/>
        </w:rPr>
        <w:t>Buscemi</w:t>
      </w:r>
      <w:proofErr w:type="spellEnd"/>
      <w:r w:rsidRPr="000A5CC9">
        <w:rPr>
          <w:rFonts w:asciiTheme="minorHAnsi" w:hAnsiTheme="minorHAnsi" w:cstheme="minorHAnsi"/>
          <w:sz w:val="18"/>
          <w:szCs w:val="18"/>
        </w:rPr>
        <w:t>, S.</w:t>
      </w:r>
      <w:r w:rsidR="000A5CC9" w:rsidRPr="000A5CC9">
        <w:rPr>
          <w:rFonts w:asciiTheme="minorHAnsi" w:hAnsiTheme="minorHAnsi" w:cstheme="minorHAnsi"/>
          <w:sz w:val="18"/>
          <w:szCs w:val="18"/>
        </w:rPr>
        <w:t xml:space="preserve">, Giordano, C., </w:t>
      </w:r>
      <w:r w:rsidR="000A5CC9" w:rsidRPr="000A5CC9">
        <w:rPr>
          <w:rFonts w:asciiTheme="minorHAnsi" w:hAnsiTheme="minorHAnsi" w:cstheme="minorHAnsi"/>
          <w:b/>
          <w:sz w:val="18"/>
          <w:szCs w:val="18"/>
        </w:rPr>
        <w:t>2017</w:t>
      </w:r>
      <w:r w:rsidR="000A5CC9">
        <w:rPr>
          <w:rFonts w:asciiTheme="minorHAnsi" w:hAnsiTheme="minorHAnsi" w:cstheme="minorHAnsi"/>
          <w:sz w:val="18"/>
          <w:szCs w:val="18"/>
        </w:rPr>
        <w:t xml:space="preserve">. </w:t>
      </w:r>
      <w:r w:rsidR="000A5CC9" w:rsidRPr="000A5CC9">
        <w:rPr>
          <w:rFonts w:asciiTheme="minorHAnsi" w:hAnsiTheme="minorHAnsi" w:cstheme="minorHAnsi"/>
          <w:sz w:val="18"/>
          <w:szCs w:val="18"/>
        </w:rPr>
        <w:t xml:space="preserve">Physical activity and cardiovascular prevention: Is healthy urban living a possible reality or utopia? </w:t>
      </w:r>
      <w:r w:rsidRPr="000A5CC9">
        <w:rPr>
          <w:rFonts w:asciiTheme="minorHAnsi" w:hAnsiTheme="minorHAnsi" w:cstheme="minorHAnsi"/>
          <w:sz w:val="18"/>
          <w:szCs w:val="18"/>
        </w:rPr>
        <w:t xml:space="preserve"> </w:t>
      </w:r>
      <w:hyperlink r:id="rId10" w:tooltip="Go to European Journal of Internal Medicine on ScienceDirect" w:history="1">
        <w:r w:rsidR="000A5CC9" w:rsidRPr="000A5CC9">
          <w:rPr>
            <w:rStyle w:val="Hyperlink"/>
            <w:rFonts w:asciiTheme="minorHAnsi" w:hAnsiTheme="minorHAnsi" w:cstheme="minorHAnsi"/>
            <w:color w:val="auto"/>
            <w:sz w:val="18"/>
            <w:szCs w:val="18"/>
            <w:u w:val="none"/>
            <w:bdr w:val="none" w:sz="0" w:space="0" w:color="auto" w:frame="1"/>
            <w:shd w:val="clear" w:color="auto" w:fill="F9FBFC"/>
          </w:rPr>
          <w:t>European Journal of Internal Medicine</w:t>
        </w:r>
      </w:hyperlink>
    </w:p>
    <w:p w:rsidR="002B3735" w:rsidRPr="002B3735" w:rsidRDefault="000A5CC9" w:rsidP="002B3735">
      <w:pPr>
        <w:pStyle w:val="ListParagraph"/>
        <w:widowControl/>
        <w:numPr>
          <w:ilvl w:val="0"/>
          <w:numId w:val="3"/>
        </w:numPr>
        <w:tabs>
          <w:tab w:val="left" w:pos="384"/>
        </w:tabs>
        <w:autoSpaceDE w:val="0"/>
        <w:autoSpaceDN w:val="0"/>
        <w:adjustRightInd w:val="0"/>
        <w:spacing w:before="103" w:line="216" w:lineRule="exact"/>
        <w:ind w:right="138"/>
        <w:rPr>
          <w:rFonts w:asciiTheme="minorHAnsi" w:hAnsiTheme="minorHAnsi" w:cstheme="minorHAnsi"/>
          <w:sz w:val="18"/>
          <w:szCs w:val="18"/>
        </w:rPr>
      </w:pPr>
      <w:proofErr w:type="spellStart"/>
      <w:r>
        <w:rPr>
          <w:rFonts w:asciiTheme="minorHAnsi" w:eastAsiaTheme="minorHAnsi" w:hAnsiTheme="minorHAnsi" w:cstheme="minorHAnsi"/>
          <w:sz w:val="18"/>
          <w:szCs w:val="18"/>
        </w:rPr>
        <w:t>Akpinar</w:t>
      </w:r>
      <w:proofErr w:type="spellEnd"/>
      <w:r>
        <w:rPr>
          <w:rFonts w:asciiTheme="minorHAnsi" w:eastAsiaTheme="minorHAnsi" w:hAnsiTheme="minorHAnsi" w:cstheme="minorHAnsi"/>
          <w:sz w:val="18"/>
          <w:szCs w:val="18"/>
        </w:rPr>
        <w:t>, A., Barbosa-</w:t>
      </w:r>
      <w:proofErr w:type="spellStart"/>
      <w:r>
        <w:rPr>
          <w:rFonts w:asciiTheme="minorHAnsi" w:eastAsiaTheme="minorHAnsi" w:hAnsiTheme="minorHAnsi" w:cstheme="minorHAnsi"/>
          <w:sz w:val="18"/>
          <w:szCs w:val="18"/>
        </w:rPr>
        <w:t>Leiker</w:t>
      </w:r>
      <w:proofErr w:type="spellEnd"/>
      <w:r>
        <w:rPr>
          <w:rFonts w:asciiTheme="minorHAnsi" w:eastAsiaTheme="minorHAnsi" w:hAnsiTheme="minorHAnsi" w:cstheme="minorHAnsi"/>
          <w:sz w:val="18"/>
          <w:szCs w:val="18"/>
        </w:rPr>
        <w:t>, C.,</w:t>
      </w:r>
      <w:r w:rsidR="002B3735" w:rsidRPr="002B3735">
        <w:rPr>
          <w:rFonts w:asciiTheme="minorHAnsi" w:eastAsiaTheme="minorHAnsi" w:hAnsiTheme="minorHAnsi" w:cstheme="minorHAnsi"/>
          <w:sz w:val="18"/>
          <w:szCs w:val="18"/>
        </w:rPr>
        <w:t xml:space="preserve"> Brooks, K.R.</w:t>
      </w:r>
      <w:r>
        <w:rPr>
          <w:rFonts w:asciiTheme="minorHAnsi" w:eastAsiaTheme="minorHAnsi" w:hAnsiTheme="minorHAnsi" w:cstheme="minorHAnsi"/>
          <w:sz w:val="18"/>
          <w:szCs w:val="18"/>
        </w:rPr>
        <w:t xml:space="preserve">, </w:t>
      </w:r>
      <w:r w:rsidRPr="002B3735">
        <w:rPr>
          <w:rFonts w:asciiTheme="minorHAnsi" w:eastAsiaTheme="minorHAnsi" w:hAnsiTheme="minorHAnsi" w:cstheme="minorHAnsi"/>
          <w:b/>
          <w:bCs/>
          <w:sz w:val="18"/>
          <w:szCs w:val="18"/>
        </w:rPr>
        <w:t>2016</w:t>
      </w:r>
      <w:r>
        <w:rPr>
          <w:rFonts w:asciiTheme="minorHAnsi" w:eastAsiaTheme="minorHAnsi" w:hAnsiTheme="minorHAnsi" w:cstheme="minorHAnsi"/>
          <w:b/>
          <w:bCs/>
          <w:sz w:val="18"/>
          <w:szCs w:val="18"/>
        </w:rPr>
        <w:t>.</w:t>
      </w:r>
      <w:r w:rsidR="002B3735" w:rsidRPr="002B3735">
        <w:rPr>
          <w:rFonts w:asciiTheme="minorHAnsi" w:eastAsiaTheme="minorHAnsi" w:hAnsiTheme="minorHAnsi" w:cstheme="minorHAnsi"/>
          <w:sz w:val="18"/>
          <w:szCs w:val="18"/>
        </w:rPr>
        <w:t xml:space="preserve"> Does green space matter? Exploring relationships between</w:t>
      </w:r>
      <w:r w:rsidR="002B3735" w:rsidRPr="002B3735">
        <w:rPr>
          <w:rFonts w:asciiTheme="minorHAnsi" w:eastAsiaTheme="minorHAnsi" w:hAnsiTheme="minorHAnsi" w:cstheme="minorHAnsi"/>
          <w:sz w:val="18"/>
          <w:szCs w:val="18"/>
        </w:rPr>
        <w:t xml:space="preserve"> </w:t>
      </w:r>
      <w:r w:rsidR="002B3735" w:rsidRPr="002B3735">
        <w:rPr>
          <w:rFonts w:asciiTheme="minorHAnsi" w:eastAsiaTheme="minorHAnsi" w:hAnsiTheme="minorHAnsi" w:cstheme="minorHAnsi"/>
          <w:sz w:val="18"/>
          <w:szCs w:val="18"/>
        </w:rPr>
        <w:t>green space type and health indicators. Urban For. Urban Green. 20, 407–418.</w:t>
      </w:r>
    </w:p>
    <w:p w:rsidR="002B3735" w:rsidRPr="002B3735" w:rsidRDefault="002B3735" w:rsidP="002B3735">
      <w:pPr>
        <w:pStyle w:val="ListParagraph"/>
        <w:widowControl/>
        <w:numPr>
          <w:ilvl w:val="0"/>
          <w:numId w:val="3"/>
        </w:numPr>
        <w:tabs>
          <w:tab w:val="left" w:pos="384"/>
        </w:tabs>
        <w:autoSpaceDE w:val="0"/>
        <w:autoSpaceDN w:val="0"/>
        <w:adjustRightInd w:val="0"/>
        <w:spacing w:before="103" w:line="216" w:lineRule="exact"/>
        <w:ind w:right="138"/>
        <w:rPr>
          <w:sz w:val="18"/>
          <w:szCs w:val="18"/>
        </w:rPr>
      </w:pPr>
      <w:proofErr w:type="spellStart"/>
      <w:r w:rsidRPr="002B3735">
        <w:rPr>
          <w:sz w:val="18"/>
          <w:szCs w:val="18"/>
        </w:rPr>
        <w:t>Picavet</w:t>
      </w:r>
      <w:proofErr w:type="spellEnd"/>
      <w:r w:rsidRPr="002B3735">
        <w:rPr>
          <w:sz w:val="18"/>
          <w:szCs w:val="18"/>
        </w:rPr>
        <w:t xml:space="preserve">, H.S., Milder, I., </w:t>
      </w:r>
      <w:proofErr w:type="spellStart"/>
      <w:r w:rsidRPr="002B3735">
        <w:rPr>
          <w:sz w:val="18"/>
          <w:szCs w:val="18"/>
        </w:rPr>
        <w:t>Kruize</w:t>
      </w:r>
      <w:proofErr w:type="spellEnd"/>
      <w:r w:rsidRPr="002B3735">
        <w:rPr>
          <w:sz w:val="18"/>
          <w:szCs w:val="18"/>
        </w:rPr>
        <w:t xml:space="preserve">, H., de </w:t>
      </w:r>
      <w:proofErr w:type="spellStart"/>
      <w:r w:rsidRPr="002B3735">
        <w:rPr>
          <w:sz w:val="18"/>
          <w:szCs w:val="18"/>
        </w:rPr>
        <w:t>Vries</w:t>
      </w:r>
      <w:proofErr w:type="spellEnd"/>
      <w:r w:rsidRPr="002B3735">
        <w:rPr>
          <w:sz w:val="18"/>
          <w:szCs w:val="18"/>
        </w:rPr>
        <w:t xml:space="preserve">, S., </w:t>
      </w:r>
      <w:proofErr w:type="spellStart"/>
      <w:r w:rsidRPr="002B3735">
        <w:rPr>
          <w:sz w:val="18"/>
          <w:szCs w:val="18"/>
        </w:rPr>
        <w:t>Hermans</w:t>
      </w:r>
      <w:proofErr w:type="spellEnd"/>
      <w:r w:rsidRPr="002B3735">
        <w:rPr>
          <w:sz w:val="18"/>
          <w:szCs w:val="18"/>
        </w:rPr>
        <w:t xml:space="preserve">, T., </w:t>
      </w:r>
      <w:proofErr w:type="spellStart"/>
      <w:r w:rsidRPr="002B3735">
        <w:rPr>
          <w:sz w:val="18"/>
          <w:szCs w:val="18"/>
        </w:rPr>
        <w:t>Wendel-Vos</w:t>
      </w:r>
      <w:proofErr w:type="spellEnd"/>
      <w:r w:rsidRPr="002B3735">
        <w:rPr>
          <w:sz w:val="18"/>
          <w:szCs w:val="18"/>
        </w:rPr>
        <w:t xml:space="preserve">, W., </w:t>
      </w:r>
      <w:r w:rsidRPr="000A5CC9">
        <w:rPr>
          <w:b/>
          <w:sz w:val="18"/>
          <w:szCs w:val="18"/>
        </w:rPr>
        <w:t>2016.</w:t>
      </w:r>
      <w:r w:rsidRPr="002B3735">
        <w:rPr>
          <w:sz w:val="18"/>
          <w:szCs w:val="18"/>
        </w:rPr>
        <w:t xml:space="preserve"> Greener living environment healthier people? Exploring green space, physical</w:t>
      </w:r>
      <w:r>
        <w:rPr>
          <w:sz w:val="18"/>
          <w:szCs w:val="18"/>
        </w:rPr>
        <w:t xml:space="preserve"> </w:t>
      </w:r>
      <w:r w:rsidRPr="002B3735">
        <w:rPr>
          <w:sz w:val="18"/>
          <w:szCs w:val="18"/>
        </w:rPr>
        <w:t xml:space="preserve">activity and health in the </w:t>
      </w:r>
      <w:proofErr w:type="spellStart"/>
      <w:r w:rsidRPr="002B3735">
        <w:rPr>
          <w:sz w:val="18"/>
          <w:szCs w:val="18"/>
        </w:rPr>
        <w:t>Doetinchem</w:t>
      </w:r>
      <w:proofErr w:type="spellEnd"/>
      <w:r w:rsidRPr="002B3735">
        <w:rPr>
          <w:sz w:val="18"/>
          <w:szCs w:val="18"/>
        </w:rPr>
        <w:t xml:space="preserve"> Cohort Study. Prev. Med. 89, 7–14</w:t>
      </w:r>
    </w:p>
    <w:p w:rsidR="00007097" w:rsidRPr="002B3735" w:rsidRDefault="002B3735" w:rsidP="002B3735">
      <w:pPr>
        <w:pStyle w:val="ListParagraph"/>
        <w:numPr>
          <w:ilvl w:val="0"/>
          <w:numId w:val="3"/>
        </w:numPr>
        <w:tabs>
          <w:tab w:val="left" w:pos="384"/>
        </w:tabs>
        <w:spacing w:line="216" w:lineRule="exact"/>
        <w:ind w:right="138" w:hanging="283"/>
        <w:rPr>
          <w:rFonts w:asciiTheme="minorHAnsi" w:hAnsiTheme="minorHAnsi" w:cstheme="minorHAnsi"/>
          <w:sz w:val="18"/>
          <w:szCs w:val="18"/>
        </w:rPr>
      </w:pPr>
      <w:proofErr w:type="spellStart"/>
      <w:r w:rsidRPr="002B3735">
        <w:rPr>
          <w:rFonts w:asciiTheme="minorHAnsi" w:hAnsiTheme="minorHAnsi" w:cstheme="minorHAnsi"/>
          <w:sz w:val="18"/>
          <w:szCs w:val="18"/>
        </w:rPr>
        <w:t>Akpinar</w:t>
      </w:r>
      <w:proofErr w:type="spellEnd"/>
      <w:r w:rsidRPr="002B3735">
        <w:rPr>
          <w:rFonts w:asciiTheme="minorHAnsi" w:hAnsiTheme="minorHAnsi" w:cstheme="minorHAnsi"/>
          <w:sz w:val="18"/>
          <w:szCs w:val="18"/>
        </w:rPr>
        <w:t xml:space="preserve">, A., </w:t>
      </w:r>
      <w:r w:rsidRPr="001778BA">
        <w:rPr>
          <w:rFonts w:asciiTheme="minorHAnsi" w:hAnsiTheme="minorHAnsi" w:cstheme="minorHAnsi"/>
          <w:b/>
          <w:sz w:val="18"/>
          <w:szCs w:val="18"/>
        </w:rPr>
        <w:t>2016</w:t>
      </w:r>
      <w:r w:rsidRPr="002B3735">
        <w:rPr>
          <w:rFonts w:asciiTheme="minorHAnsi" w:hAnsiTheme="minorHAnsi" w:cstheme="minorHAnsi"/>
          <w:sz w:val="18"/>
          <w:szCs w:val="18"/>
        </w:rPr>
        <w:t>. How is quality of urban green spaces associated with physical</w:t>
      </w:r>
      <w:r>
        <w:rPr>
          <w:rFonts w:asciiTheme="minorHAnsi" w:hAnsiTheme="minorHAnsi" w:cstheme="minorHAnsi"/>
          <w:sz w:val="18"/>
          <w:szCs w:val="18"/>
        </w:rPr>
        <w:t xml:space="preserve"> </w:t>
      </w:r>
      <w:r w:rsidRPr="002B3735">
        <w:rPr>
          <w:rFonts w:asciiTheme="minorHAnsi" w:hAnsiTheme="minorHAnsi" w:cstheme="minorHAnsi"/>
          <w:sz w:val="18"/>
          <w:szCs w:val="18"/>
        </w:rPr>
        <w:t>activity and health? Urban For. Urban Greening 16, 76–83.</w:t>
      </w:r>
    </w:p>
    <w:p w:rsidR="00007097" w:rsidRPr="001778BA" w:rsidRDefault="001778BA" w:rsidP="001778BA">
      <w:pPr>
        <w:pStyle w:val="ListParagraph"/>
        <w:numPr>
          <w:ilvl w:val="0"/>
          <w:numId w:val="3"/>
        </w:numPr>
        <w:tabs>
          <w:tab w:val="left" w:pos="384"/>
        </w:tabs>
        <w:spacing w:before="92" w:line="218" w:lineRule="exact"/>
        <w:ind w:hanging="283"/>
        <w:rPr>
          <w:sz w:val="18"/>
          <w:szCs w:val="18"/>
        </w:rPr>
      </w:pPr>
      <w:proofErr w:type="spellStart"/>
      <w:r w:rsidRPr="001778BA">
        <w:rPr>
          <w:sz w:val="18"/>
          <w:szCs w:val="18"/>
        </w:rPr>
        <w:t>Kuo</w:t>
      </w:r>
      <w:proofErr w:type="spellEnd"/>
      <w:r w:rsidRPr="001778BA">
        <w:rPr>
          <w:sz w:val="18"/>
          <w:szCs w:val="18"/>
        </w:rPr>
        <w:t xml:space="preserve">, M., </w:t>
      </w:r>
      <w:r w:rsidRPr="001778BA">
        <w:rPr>
          <w:b/>
          <w:sz w:val="18"/>
          <w:szCs w:val="18"/>
        </w:rPr>
        <w:t>2015</w:t>
      </w:r>
      <w:r w:rsidRPr="001778BA">
        <w:rPr>
          <w:sz w:val="18"/>
          <w:szCs w:val="18"/>
        </w:rPr>
        <w:t>. How might contact with nature promote human health? Promising</w:t>
      </w:r>
      <w:r>
        <w:rPr>
          <w:sz w:val="18"/>
          <w:szCs w:val="18"/>
        </w:rPr>
        <w:t xml:space="preserve"> </w:t>
      </w:r>
      <w:r w:rsidRPr="001778BA">
        <w:rPr>
          <w:sz w:val="18"/>
          <w:szCs w:val="18"/>
        </w:rPr>
        <w:t>mechanisms and a possible central pathway. Front. Psychol. 6 (1093)</w:t>
      </w: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p>
    <w:p w:rsidR="00007097" w:rsidRDefault="00007097" w:rsidP="00007097">
      <w:pPr>
        <w:pStyle w:val="BodyText"/>
        <w:spacing w:line="40" w:lineRule="exact"/>
        <w:ind w:left="2202"/>
        <w:rPr>
          <w:rFonts w:ascii="Calibri"/>
          <w:sz w:val="4"/>
        </w:rPr>
      </w:pPr>
      <w:r>
        <w:rPr>
          <w:rFonts w:ascii="Calibri"/>
          <w:noProof/>
          <w:sz w:val="4"/>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FB643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07097" w:rsidRDefault="00007097" w:rsidP="00007097">
      <w:pPr>
        <w:spacing w:before="92"/>
        <w:ind w:right="4234"/>
        <w:rPr>
          <w:rFonts w:ascii="Arial"/>
        </w:rPr>
      </w:pPr>
      <w:r>
        <w:rPr>
          <w:noProof/>
        </w:rPr>
        <w:t xml:space="preserve">              </w:t>
      </w:r>
      <w:r>
        <w:rPr>
          <w:noProof/>
        </w:rPr>
        <w:drawing>
          <wp:inline distT="0" distB="0" distL="0" distR="0" wp14:anchorId="7A3783C6" wp14:editId="3EC73173">
            <wp:extent cx="556650"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56650" cy="625069"/>
                    </a:xfrm>
                    <a:prstGeom prst="rect">
                      <a:avLst/>
                    </a:prstGeom>
                    <a:noFill/>
                    <a:ln>
                      <a:noFill/>
                    </a:ln>
                  </pic:spPr>
                </pic:pic>
              </a:graphicData>
            </a:graphic>
          </wp:inline>
        </w:drawing>
      </w:r>
      <w:r>
        <w:rPr>
          <w:rFonts w:ascii="Arial"/>
          <w:color w:val="BF5A14"/>
        </w:rPr>
        <w:t>Biography (150 word limit)</w:t>
      </w:r>
    </w:p>
    <w:p w:rsidR="003D4647" w:rsidRPr="00E06B48" w:rsidRDefault="003D4647" w:rsidP="003D4647">
      <w:pPr>
        <w:pStyle w:val="Default"/>
        <w:jc w:val="both"/>
        <w:rPr>
          <w:rFonts w:ascii="Arial" w:hAnsi="Arial" w:cs="Arial"/>
          <w:sz w:val="14"/>
          <w:szCs w:val="14"/>
        </w:rPr>
      </w:pPr>
      <w:r w:rsidRPr="00E06B48">
        <w:rPr>
          <w:rFonts w:ascii="Arial" w:hAnsi="Arial" w:cs="Arial"/>
          <w:sz w:val="14"/>
          <w:szCs w:val="14"/>
        </w:rPr>
        <w:t xml:space="preserve">Abdullah </w:t>
      </w:r>
      <w:proofErr w:type="spellStart"/>
      <w:r w:rsidRPr="00E06B48">
        <w:rPr>
          <w:rFonts w:ascii="Arial" w:hAnsi="Arial" w:cs="Arial"/>
          <w:sz w:val="14"/>
          <w:szCs w:val="14"/>
        </w:rPr>
        <w:t>Akpinar</w:t>
      </w:r>
      <w:proofErr w:type="spellEnd"/>
      <w:r w:rsidRPr="00E06B48">
        <w:rPr>
          <w:rFonts w:ascii="Arial" w:hAnsi="Arial" w:cs="Arial"/>
          <w:sz w:val="14"/>
          <w:szCs w:val="14"/>
        </w:rPr>
        <w:t xml:space="preserve">, PhD is an Assistant Professor in the Department of Landscape Architecture at Adnan Menderes University, Turkey. His interests include human health and built/natural systems, eco-therapy and healing gardens, environmental psychology, perceived restoration, physical activity, greenway/green infrastructure design, parks/ recreational area design, design and planning urban open/green spaces, landscape design, design thinking, and </w:t>
      </w:r>
      <w:proofErr w:type="spellStart"/>
      <w:r w:rsidRPr="00E06B48">
        <w:rPr>
          <w:rFonts w:ascii="Arial" w:hAnsi="Arial" w:cs="Arial"/>
          <w:sz w:val="14"/>
          <w:szCs w:val="14"/>
        </w:rPr>
        <w:t>GeoDesign</w:t>
      </w:r>
      <w:proofErr w:type="spellEnd"/>
      <w:r w:rsidRPr="00E06B48">
        <w:rPr>
          <w:rFonts w:ascii="Arial" w:hAnsi="Arial" w:cs="Arial"/>
          <w:sz w:val="14"/>
          <w:szCs w:val="14"/>
        </w:rPr>
        <w:t xml:space="preserve">. </w:t>
      </w:r>
      <w:r>
        <w:rPr>
          <w:rFonts w:ascii="Arial" w:hAnsi="Arial" w:cs="Arial"/>
          <w:sz w:val="14"/>
          <w:szCs w:val="14"/>
        </w:rPr>
        <w:t xml:space="preserve">Dr. </w:t>
      </w:r>
      <w:proofErr w:type="spellStart"/>
      <w:r>
        <w:rPr>
          <w:rFonts w:ascii="Arial" w:hAnsi="Arial" w:cs="Arial"/>
          <w:sz w:val="14"/>
          <w:szCs w:val="14"/>
        </w:rPr>
        <w:t>Akpinar`s</w:t>
      </w:r>
      <w:proofErr w:type="spellEnd"/>
      <w:r>
        <w:rPr>
          <w:rFonts w:ascii="Arial" w:hAnsi="Arial" w:cs="Arial"/>
          <w:sz w:val="14"/>
          <w:szCs w:val="14"/>
        </w:rPr>
        <w:t xml:space="preserve"> researches focus on identifying the ideal green space characteristics that help people reduce mental health issues and improve physical health. </w:t>
      </w:r>
      <w:r w:rsidRPr="00E06B48">
        <w:rPr>
          <w:rFonts w:ascii="Arial" w:hAnsi="Arial" w:cs="Arial"/>
          <w:sz w:val="14"/>
          <w:szCs w:val="14"/>
        </w:rPr>
        <w:t xml:space="preserve">Dr. </w:t>
      </w:r>
      <w:proofErr w:type="spellStart"/>
      <w:r w:rsidRPr="00E06B48">
        <w:rPr>
          <w:rFonts w:ascii="Arial" w:hAnsi="Arial" w:cs="Arial"/>
          <w:sz w:val="14"/>
          <w:szCs w:val="14"/>
        </w:rPr>
        <w:t>Akpinar</w:t>
      </w:r>
      <w:proofErr w:type="spellEnd"/>
      <w:r w:rsidRPr="00E06B48">
        <w:rPr>
          <w:rFonts w:ascii="Arial" w:hAnsi="Arial" w:cs="Arial"/>
          <w:sz w:val="14"/>
          <w:szCs w:val="14"/>
        </w:rPr>
        <w:t xml:space="preserve"> has led and collaborated in 3 grants and 22 manuscripts and is currently working with colleagues on grant projects about the effect of green space on </w:t>
      </w:r>
      <w:r>
        <w:rPr>
          <w:rFonts w:ascii="Arial" w:hAnsi="Arial" w:cs="Arial"/>
          <w:sz w:val="14"/>
          <w:szCs w:val="14"/>
        </w:rPr>
        <w:t>ment</w:t>
      </w:r>
      <w:r w:rsidRPr="00E06B48">
        <w:rPr>
          <w:rFonts w:ascii="Arial" w:hAnsi="Arial" w:cs="Arial"/>
          <w:sz w:val="14"/>
          <w:szCs w:val="14"/>
        </w:rPr>
        <w:t xml:space="preserve">ally ill people and school aged students.   </w:t>
      </w:r>
      <w:bookmarkStart w:id="0" w:name="_GoBack"/>
      <w:bookmarkEnd w:id="0"/>
    </w:p>
    <w:p w:rsidR="00007097" w:rsidRDefault="00007097" w:rsidP="00007097">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007097" w:rsidRPr="000A5CC9" w:rsidRDefault="00007097" w:rsidP="000A5CC9">
      <w:pPr>
        <w:pStyle w:val="BodyText"/>
        <w:spacing w:before="2"/>
        <w:rPr>
          <w:rFonts w:ascii="Arial"/>
          <w:sz w:val="19"/>
        </w:rPr>
        <w:sectPr w:rsidR="00007097" w:rsidRPr="000A5CC9">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2C9C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Pr="00B21A57">
        <w:rPr>
          <w:rFonts w:ascii="Minion Pro"/>
          <w:b/>
          <w:sz w:val="20"/>
        </w:rPr>
        <w:t>Notes/Comments:</w:t>
      </w:r>
    </w:p>
    <w:p w:rsidR="00007097" w:rsidRDefault="00007097" w:rsidP="003D4647">
      <w:pPr>
        <w:pStyle w:val="BodyText"/>
        <w:spacing w:before="3"/>
        <w:rPr>
          <w:rFonts w:ascii="Minion Pro"/>
          <w:sz w:val="26"/>
        </w:rPr>
      </w:pPr>
    </w:p>
    <w:sectPr w:rsidR="0000709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EB5" w:rsidRDefault="00006EB5">
      <w:r>
        <w:separator/>
      </w:r>
    </w:p>
  </w:endnote>
  <w:endnote w:type="continuationSeparator" w:id="0">
    <w:p w:rsidR="00006EB5" w:rsidRDefault="0000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altName w:val="Palatino"/>
    <w:panose1 w:val="02040502050505030304"/>
    <w:charset w:val="00"/>
    <w:family w:val="roman"/>
    <w:pitch w:val="variable"/>
    <w:sig w:usb0="E0000287" w:usb1="40000013" w:usb2="00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B57C67B" wp14:editId="216652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57C67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D657509" wp14:editId="6847D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57509"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72ACA91" wp14:editId="2FA9D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2ACA91"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EB5" w:rsidRDefault="00006EB5">
      <w:r>
        <w:separator/>
      </w:r>
    </w:p>
  </w:footnote>
  <w:footnote w:type="continuationSeparator" w:id="0">
    <w:p w:rsidR="00006EB5" w:rsidRDefault="00006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0709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F38FB20" wp14:editId="6806BE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8FB2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B91170" wp14:editId="07DEF5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91170"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6C1E0B3C"/>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097"/>
    <w:rsid w:val="00006EB5"/>
    <w:rsid w:val="00007097"/>
    <w:rsid w:val="000A5CC9"/>
    <w:rsid w:val="001778BA"/>
    <w:rsid w:val="002B3735"/>
    <w:rsid w:val="003D4647"/>
    <w:rsid w:val="00503DFC"/>
    <w:rsid w:val="005079B9"/>
    <w:rsid w:val="00826D4A"/>
    <w:rsid w:val="00B53EF2"/>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C5B1CE-AFC3-4AB2-9AA1-8BB3588F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 w:type="paragraph" w:customStyle="1" w:styleId="Default">
    <w:name w:val="Default"/>
    <w:rsid w:val="003D4647"/>
    <w:pPr>
      <w:autoSpaceDE w:val="0"/>
      <w:autoSpaceDN w:val="0"/>
      <w:adjustRightInd w:val="0"/>
      <w:spacing w:after="0" w:line="240" w:lineRule="auto"/>
    </w:pPr>
    <w:rPr>
      <w:rFonts w:ascii="Palatino Linotype" w:hAnsi="Palatino Linotype" w:cs="Palatino Linotype"/>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19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www.sciencedirect.com/science/journal/09536205"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1924</TotalTime>
  <Pages>2</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Windows User</cp:lastModifiedBy>
  <cp:revision>4</cp:revision>
  <dcterms:created xsi:type="dcterms:W3CDTF">2017-06-16T12:39:00Z</dcterms:created>
  <dcterms:modified xsi:type="dcterms:W3CDTF">2017-06-19T08:07:00Z</dcterms:modified>
</cp:coreProperties>
</file>