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7560B" w14:textId="77777777" w:rsidR="00171FEE" w:rsidRPr="00863AAE" w:rsidRDefault="00171FEE" w:rsidP="00DF509A">
      <w:pPr>
        <w:jc w:val="center"/>
        <w:rPr>
          <w:rFonts w:asciiTheme="majorBidi" w:hAnsiTheme="majorBidi" w:cstheme="majorBidi"/>
          <w:b/>
          <w:bCs/>
        </w:rPr>
      </w:pPr>
      <w:r w:rsidRPr="00863AAE">
        <w:rPr>
          <w:rFonts w:asciiTheme="majorBidi" w:hAnsiTheme="majorBidi" w:cstheme="majorBidi"/>
          <w:b/>
          <w:bCs/>
        </w:rPr>
        <w:t>Anti-obesity and Hypolipidemic</w:t>
      </w:r>
      <w:r w:rsidRPr="00863AAE">
        <w:rPr>
          <w:rFonts w:asciiTheme="majorBidi" w:hAnsiTheme="majorBidi" w:cstheme="majorBidi"/>
        </w:rPr>
        <w:t xml:space="preserve"> </w:t>
      </w:r>
      <w:r w:rsidR="00DF509A" w:rsidRPr="00863AAE">
        <w:rPr>
          <w:rFonts w:asciiTheme="majorBidi" w:hAnsiTheme="majorBidi" w:cstheme="majorBidi"/>
          <w:b/>
          <w:bCs/>
        </w:rPr>
        <w:t>Effects</w:t>
      </w:r>
      <w:r w:rsidRPr="00863AAE">
        <w:rPr>
          <w:rFonts w:asciiTheme="majorBidi" w:hAnsiTheme="majorBidi" w:cstheme="majorBidi"/>
          <w:b/>
          <w:bCs/>
        </w:rPr>
        <w:t xml:space="preserve"> of </w:t>
      </w:r>
      <w:r w:rsidR="00DF509A" w:rsidRPr="00863AAE">
        <w:rPr>
          <w:rFonts w:asciiTheme="majorBidi" w:hAnsiTheme="majorBidi" w:cstheme="majorBidi"/>
          <w:b/>
          <w:bCs/>
          <w:i/>
          <w:iCs/>
        </w:rPr>
        <w:t>Cyn</w:t>
      </w:r>
      <w:bookmarkStart w:id="0" w:name="_GoBack"/>
      <w:bookmarkEnd w:id="0"/>
      <w:r w:rsidR="00DF509A" w:rsidRPr="00863AAE">
        <w:rPr>
          <w:rFonts w:asciiTheme="majorBidi" w:hAnsiTheme="majorBidi" w:cstheme="majorBidi"/>
          <w:b/>
          <w:bCs/>
          <w:i/>
          <w:iCs/>
        </w:rPr>
        <w:t>ometra cauliflora</w:t>
      </w:r>
      <w:r w:rsidR="00DF509A" w:rsidRPr="00863AAE">
        <w:rPr>
          <w:rFonts w:asciiTheme="majorBidi" w:hAnsiTheme="majorBidi" w:cstheme="majorBidi"/>
          <w:b/>
          <w:bCs/>
        </w:rPr>
        <w:t xml:space="preserve"> </w:t>
      </w:r>
      <w:r w:rsidRPr="00863AAE">
        <w:rPr>
          <w:rFonts w:asciiTheme="majorBidi" w:hAnsiTheme="majorBidi" w:cstheme="majorBidi"/>
          <w:b/>
          <w:bCs/>
        </w:rPr>
        <w:t>in Animal Model of Obesity</w:t>
      </w:r>
    </w:p>
    <w:p w14:paraId="4AFCAC00" w14:textId="77777777" w:rsidR="00171FEE" w:rsidRPr="00863AAE" w:rsidRDefault="00171FEE" w:rsidP="00171FEE">
      <w:pPr>
        <w:jc w:val="center"/>
        <w:rPr>
          <w:rFonts w:asciiTheme="majorBidi" w:hAnsiTheme="majorBidi" w:cstheme="majorBidi"/>
          <w:b/>
          <w:bCs/>
        </w:rPr>
      </w:pPr>
    </w:p>
    <w:p w14:paraId="5A5F6B31" w14:textId="77777777" w:rsidR="00171FEE" w:rsidRPr="00863AAE" w:rsidRDefault="00171FEE" w:rsidP="00171FEE">
      <w:pPr>
        <w:jc w:val="center"/>
        <w:rPr>
          <w:rFonts w:asciiTheme="majorBidi" w:hAnsiTheme="majorBidi" w:cstheme="majorBidi"/>
          <w:b/>
          <w:bCs/>
        </w:rPr>
      </w:pPr>
    </w:p>
    <w:p w14:paraId="19A025EC" w14:textId="77777777" w:rsidR="00171FEE" w:rsidRPr="00863AAE" w:rsidRDefault="00171FEE" w:rsidP="00171FEE">
      <w:pPr>
        <w:jc w:val="both"/>
        <w:rPr>
          <w:rFonts w:asciiTheme="majorBidi" w:hAnsiTheme="majorBidi" w:cstheme="majorBidi"/>
          <w:bCs/>
          <w:vertAlign w:val="superscript"/>
        </w:rPr>
      </w:pPr>
      <w:r w:rsidRPr="00863AAE">
        <w:rPr>
          <w:rFonts w:asciiTheme="majorBidi" w:hAnsiTheme="majorBidi" w:cstheme="majorBidi"/>
          <w:bCs/>
        </w:rPr>
        <w:t>Atefehalsadat Seyedan, Mohammed Abdullah Alshawsh</w:t>
      </w:r>
      <w:r w:rsidRPr="00863AAE">
        <w:rPr>
          <w:rFonts w:asciiTheme="majorBidi" w:hAnsiTheme="majorBidi" w:cstheme="majorBidi"/>
          <w:bCs/>
          <w:vertAlign w:val="superscript"/>
        </w:rPr>
        <w:t xml:space="preserve"> </w:t>
      </w:r>
      <w:r w:rsidRPr="00863AAE">
        <w:rPr>
          <w:rFonts w:asciiTheme="majorBidi" w:hAnsiTheme="majorBidi" w:cstheme="majorBidi"/>
          <w:bCs/>
        </w:rPr>
        <w:t>and Zahurin Mohamed</w:t>
      </w:r>
    </w:p>
    <w:p w14:paraId="2FDB9086" w14:textId="77777777" w:rsidR="00171FEE" w:rsidRPr="00863AAE" w:rsidRDefault="00171FEE" w:rsidP="00171FEE">
      <w:pPr>
        <w:tabs>
          <w:tab w:val="left" w:pos="1665"/>
        </w:tabs>
        <w:jc w:val="both"/>
        <w:rPr>
          <w:rFonts w:asciiTheme="majorBidi" w:hAnsiTheme="majorBidi" w:cstheme="majorBidi"/>
          <w:bCs/>
        </w:rPr>
      </w:pPr>
      <w:r w:rsidRPr="00863AAE">
        <w:rPr>
          <w:rFonts w:asciiTheme="majorBidi" w:hAnsiTheme="majorBidi" w:cstheme="majorBidi"/>
          <w:bCs/>
        </w:rPr>
        <w:tab/>
      </w:r>
    </w:p>
    <w:p w14:paraId="15442A97" w14:textId="77777777" w:rsidR="00171FEE" w:rsidRPr="00863AAE" w:rsidRDefault="00171FEE" w:rsidP="00171FEE">
      <w:pPr>
        <w:jc w:val="both"/>
        <w:rPr>
          <w:rFonts w:asciiTheme="majorBidi" w:hAnsiTheme="majorBidi" w:cstheme="majorBidi"/>
        </w:rPr>
      </w:pPr>
      <w:r w:rsidRPr="00863AAE">
        <w:rPr>
          <w:rFonts w:asciiTheme="majorBidi" w:hAnsiTheme="majorBidi" w:cstheme="majorBidi"/>
        </w:rPr>
        <w:t xml:space="preserve">Department of Pharmacology, Faculty of Medicine, University of Malaya, 50603 </w:t>
      </w:r>
      <w:r w:rsidR="00DF509A" w:rsidRPr="00863AAE">
        <w:rPr>
          <w:rFonts w:asciiTheme="majorBidi" w:hAnsiTheme="majorBidi" w:cstheme="majorBidi"/>
        </w:rPr>
        <w:t>Kuala Lumpur, Malaysia.</w:t>
      </w:r>
    </w:p>
    <w:p w14:paraId="7322A863" w14:textId="77777777" w:rsidR="00171FEE" w:rsidRPr="00863AAE" w:rsidRDefault="00171FEE" w:rsidP="00171FEE">
      <w:pPr>
        <w:jc w:val="center"/>
        <w:rPr>
          <w:rFonts w:asciiTheme="majorBidi" w:hAnsiTheme="majorBidi" w:cstheme="majorBidi"/>
          <w:b/>
          <w:bCs/>
        </w:rPr>
      </w:pPr>
    </w:p>
    <w:p w14:paraId="13A2CD63" w14:textId="77777777" w:rsidR="00171FEE" w:rsidRPr="00863AAE" w:rsidRDefault="00171FEE" w:rsidP="00171FEE">
      <w:pPr>
        <w:autoSpaceDE w:val="0"/>
        <w:autoSpaceDN w:val="0"/>
        <w:adjustRightInd w:val="0"/>
        <w:rPr>
          <w:rFonts w:asciiTheme="majorBidi" w:hAnsiTheme="majorBidi" w:cstheme="majorBidi"/>
          <w:lang w:val="en-NZ"/>
        </w:rPr>
      </w:pPr>
    </w:p>
    <w:p w14:paraId="67AE0656" w14:textId="77777777" w:rsidR="00171FEE" w:rsidRPr="00863AAE" w:rsidRDefault="00171FEE" w:rsidP="00171FEE">
      <w:pPr>
        <w:autoSpaceDE w:val="0"/>
        <w:autoSpaceDN w:val="0"/>
        <w:adjustRightInd w:val="0"/>
        <w:rPr>
          <w:rFonts w:asciiTheme="majorBidi" w:hAnsiTheme="majorBidi" w:cstheme="majorBidi"/>
          <w:lang w:val="en-NZ"/>
        </w:rPr>
      </w:pPr>
    </w:p>
    <w:p w14:paraId="1A35F400" w14:textId="510910BF" w:rsidR="003B15C4" w:rsidRDefault="0090462C" w:rsidP="0056726B">
      <w:pPr>
        <w:jc w:val="both"/>
        <w:rPr>
          <w:rFonts w:asciiTheme="majorBidi" w:hAnsiTheme="majorBidi" w:cstheme="majorBidi"/>
        </w:rPr>
      </w:pPr>
      <w:r w:rsidRPr="00863AAE">
        <w:rPr>
          <w:rFonts w:asciiTheme="majorBidi" w:hAnsiTheme="majorBidi" w:cstheme="majorBidi"/>
          <w:i/>
          <w:iCs/>
        </w:rPr>
        <w:t>Cynometra cauliflora</w:t>
      </w:r>
      <w:r w:rsidRPr="00863AAE">
        <w:rPr>
          <w:rFonts w:asciiTheme="majorBidi" w:hAnsiTheme="majorBidi" w:cstheme="majorBidi"/>
        </w:rPr>
        <w:t xml:space="preserve"> </w:t>
      </w:r>
      <w:r w:rsidR="005B6B58" w:rsidRPr="00863AAE">
        <w:rPr>
          <w:rFonts w:asciiTheme="majorBidi" w:hAnsiTheme="majorBidi" w:cstheme="majorBidi"/>
        </w:rPr>
        <w:t>is a medicinal plant</w:t>
      </w:r>
      <w:r w:rsidRPr="00863AAE">
        <w:rPr>
          <w:rFonts w:asciiTheme="majorBidi" w:hAnsiTheme="majorBidi" w:cstheme="majorBidi"/>
        </w:rPr>
        <w:t>,</w:t>
      </w:r>
      <w:r w:rsidR="005B6B58" w:rsidRPr="00863AAE">
        <w:rPr>
          <w:rFonts w:asciiTheme="majorBidi" w:hAnsiTheme="majorBidi" w:cstheme="majorBidi"/>
        </w:rPr>
        <w:t xml:space="preserve"> </w:t>
      </w:r>
      <w:r w:rsidRPr="00863AAE">
        <w:rPr>
          <w:rFonts w:asciiTheme="majorBidi" w:hAnsiTheme="majorBidi" w:cstheme="majorBidi"/>
        </w:rPr>
        <w:t xml:space="preserve">belonging to Fabaceae family, traditionally used to treat hyperlipidemia and diabetes. </w:t>
      </w:r>
      <w:r w:rsidR="003B15C4" w:rsidRPr="00863AAE">
        <w:rPr>
          <w:rFonts w:asciiTheme="majorBidi" w:hAnsiTheme="majorBidi" w:cstheme="majorBidi"/>
        </w:rPr>
        <w:t xml:space="preserve">This study investigated the anti-obesity and lipid lowering effects of ethanol extract of </w:t>
      </w:r>
      <w:r w:rsidR="003B15C4" w:rsidRPr="00863AAE">
        <w:rPr>
          <w:rFonts w:asciiTheme="majorBidi" w:hAnsiTheme="majorBidi" w:cstheme="majorBidi"/>
          <w:i/>
          <w:iCs/>
        </w:rPr>
        <w:t>C. cauliflora</w:t>
      </w:r>
      <w:r w:rsidR="003B15C4" w:rsidRPr="00863AAE">
        <w:rPr>
          <w:rFonts w:asciiTheme="majorBidi" w:hAnsiTheme="majorBidi" w:cstheme="majorBidi"/>
        </w:rPr>
        <w:t xml:space="preserve"> leaves (200 and 400 mg/kg) and its major compound (vitexin, 10 mg/kg) on obese mice </w:t>
      </w:r>
      <w:r w:rsidR="003B15C4" w:rsidRPr="00863AAE">
        <w:rPr>
          <w:rFonts w:asciiTheme="majorBidi" w:hAnsiTheme="majorBidi" w:cstheme="majorBidi"/>
          <w:lang w:eastAsia="en-MY"/>
        </w:rPr>
        <w:t xml:space="preserve">(C57BL/6) </w:t>
      </w:r>
      <w:r w:rsidR="003B15C4" w:rsidRPr="00863AAE">
        <w:rPr>
          <w:rFonts w:asciiTheme="majorBidi" w:hAnsiTheme="majorBidi" w:cstheme="majorBidi"/>
        </w:rPr>
        <w:t xml:space="preserve">induced by high-fat diet (HFD). </w:t>
      </w:r>
      <w:r w:rsidR="00D647FF" w:rsidRPr="00863AAE">
        <w:rPr>
          <w:rFonts w:asciiTheme="majorBidi" w:hAnsiTheme="majorBidi" w:cstheme="majorBidi"/>
        </w:rPr>
        <w:t xml:space="preserve">Animals were fed with either a standard pellet diet for normal control group </w:t>
      </w:r>
      <w:r w:rsidR="00DF509A" w:rsidRPr="00863AAE">
        <w:rPr>
          <w:rFonts w:asciiTheme="majorBidi" w:hAnsiTheme="majorBidi" w:cstheme="majorBidi"/>
        </w:rPr>
        <w:t>or HFD for 8 weeks to induce obesity</w:t>
      </w:r>
      <w:r w:rsidR="00D647FF" w:rsidRPr="00863AAE">
        <w:rPr>
          <w:rFonts w:asciiTheme="majorBidi" w:hAnsiTheme="majorBidi" w:cstheme="majorBidi"/>
        </w:rPr>
        <w:t xml:space="preserve">. </w:t>
      </w:r>
      <w:r w:rsidR="003B15C4" w:rsidRPr="00863AAE">
        <w:rPr>
          <w:rFonts w:asciiTheme="majorBidi" w:hAnsiTheme="majorBidi" w:cstheme="majorBidi"/>
        </w:rPr>
        <w:t xml:space="preserve">The oral </w:t>
      </w:r>
      <w:r w:rsidR="003B15C4" w:rsidRPr="00863AAE">
        <w:rPr>
          <w:rFonts w:asciiTheme="majorBidi" w:hAnsiTheme="majorBidi" w:cstheme="majorBidi"/>
          <w:lang w:val="en-US"/>
        </w:rPr>
        <w:t xml:space="preserve">administration of </w:t>
      </w:r>
      <w:r w:rsidR="00DF509A" w:rsidRPr="00863AAE">
        <w:rPr>
          <w:rFonts w:asciiTheme="majorBidi" w:hAnsiTheme="majorBidi" w:cstheme="majorBidi"/>
          <w:i/>
          <w:iCs/>
        </w:rPr>
        <w:t>C. cauliflora</w:t>
      </w:r>
      <w:r w:rsidR="003B15C4" w:rsidRPr="00863AAE">
        <w:rPr>
          <w:rFonts w:asciiTheme="majorBidi" w:hAnsiTheme="majorBidi" w:cstheme="majorBidi"/>
          <w:lang w:val="en-US"/>
        </w:rPr>
        <w:t>, for 8 weeks, resulted in a significant decrease in body weight gain in mice fed a high-fat diet.</w:t>
      </w:r>
      <w:r w:rsidR="003B15C4" w:rsidRPr="00863AAE">
        <w:rPr>
          <w:rFonts w:asciiTheme="majorBidi" w:hAnsiTheme="majorBidi" w:cstheme="majorBidi"/>
        </w:rPr>
        <w:t xml:space="preserve"> Moreover,</w:t>
      </w:r>
      <w:r w:rsidR="005B6B58" w:rsidRPr="00863AAE">
        <w:rPr>
          <w:rFonts w:asciiTheme="majorBidi" w:hAnsiTheme="majorBidi" w:cstheme="majorBidi"/>
        </w:rPr>
        <w:t xml:space="preserve"> </w:t>
      </w:r>
      <w:r w:rsidR="00D647FF" w:rsidRPr="00863AAE">
        <w:rPr>
          <w:rFonts w:asciiTheme="majorBidi" w:hAnsiTheme="majorBidi" w:cstheme="majorBidi"/>
        </w:rPr>
        <w:t>the oral</w:t>
      </w:r>
      <w:r w:rsidR="003B15C4" w:rsidRPr="00863AAE">
        <w:rPr>
          <w:rFonts w:asciiTheme="majorBidi" w:hAnsiTheme="majorBidi" w:cstheme="majorBidi"/>
        </w:rPr>
        <w:t xml:space="preserve"> administration</w:t>
      </w:r>
      <w:r w:rsidR="003B15C4" w:rsidRPr="00863AAE">
        <w:rPr>
          <w:rFonts w:asciiTheme="majorBidi" w:hAnsiTheme="majorBidi" w:cstheme="majorBidi"/>
          <w:lang w:val="en-US"/>
        </w:rPr>
        <w:t xml:space="preserve"> of </w:t>
      </w:r>
      <w:r w:rsidR="003B15C4" w:rsidRPr="00863AAE">
        <w:rPr>
          <w:rFonts w:asciiTheme="majorBidi" w:hAnsiTheme="majorBidi" w:cstheme="majorBidi"/>
          <w:i/>
          <w:iCs/>
        </w:rPr>
        <w:t>C. cauliflora</w:t>
      </w:r>
      <w:r w:rsidR="003B15C4" w:rsidRPr="00863AAE">
        <w:rPr>
          <w:rFonts w:asciiTheme="majorBidi" w:hAnsiTheme="majorBidi" w:cstheme="majorBidi"/>
          <w:lang w:val="en-US"/>
        </w:rPr>
        <w:t xml:space="preserve"> </w:t>
      </w:r>
      <w:r w:rsidR="005B6B58" w:rsidRPr="00863AAE">
        <w:rPr>
          <w:rFonts w:asciiTheme="majorBidi" w:hAnsiTheme="majorBidi" w:cstheme="majorBidi"/>
          <w:lang w:val="en-US"/>
        </w:rPr>
        <w:t xml:space="preserve"> </w:t>
      </w:r>
      <w:r w:rsidR="003B15C4" w:rsidRPr="00863AAE">
        <w:rPr>
          <w:rFonts w:asciiTheme="majorBidi" w:hAnsiTheme="majorBidi" w:cstheme="majorBidi"/>
          <w:lang w:val="en-US"/>
        </w:rPr>
        <w:t xml:space="preserve">resulted in a significant </w:t>
      </w:r>
      <w:r w:rsidR="00DF509A" w:rsidRPr="00863AAE">
        <w:rPr>
          <w:rFonts w:asciiTheme="majorBidi" w:hAnsiTheme="majorBidi" w:cstheme="majorBidi"/>
          <w:lang w:val="en-US"/>
        </w:rPr>
        <w:t>reduction of</w:t>
      </w:r>
      <w:r w:rsidR="003B15C4" w:rsidRPr="00863AAE">
        <w:rPr>
          <w:rFonts w:asciiTheme="majorBidi" w:hAnsiTheme="majorBidi" w:cstheme="majorBidi"/>
          <w:lang w:val="en-US"/>
        </w:rPr>
        <w:t xml:space="preserve"> serum triglycerides, total cholesterol, low-density lipoprotein cholesterol (LDL)</w:t>
      </w:r>
      <w:r w:rsidR="003B15C4" w:rsidRPr="00863AAE">
        <w:rPr>
          <w:rFonts w:asciiTheme="majorBidi" w:hAnsiTheme="majorBidi" w:cstheme="majorBidi"/>
        </w:rPr>
        <w:t xml:space="preserve"> levels compared to the HFD control group. </w:t>
      </w:r>
      <w:r w:rsidR="0056726B" w:rsidRPr="00863AAE">
        <w:rPr>
          <w:rFonts w:asciiTheme="majorBidi" w:hAnsiTheme="majorBidi" w:cstheme="majorBidi"/>
        </w:rPr>
        <w:t>Besides</w:t>
      </w:r>
      <w:r w:rsidR="003B15C4" w:rsidRPr="00863AAE">
        <w:rPr>
          <w:rFonts w:asciiTheme="majorBidi" w:hAnsiTheme="majorBidi" w:cstheme="majorBidi"/>
        </w:rPr>
        <w:t xml:space="preserve">, </w:t>
      </w:r>
      <w:r w:rsidR="003B15C4" w:rsidRPr="00863AAE">
        <w:rPr>
          <w:rFonts w:asciiTheme="majorBidi" w:hAnsiTheme="majorBidi" w:cstheme="majorBidi"/>
          <w:lang w:val="en-US"/>
        </w:rPr>
        <w:t xml:space="preserve">the </w:t>
      </w:r>
      <w:r w:rsidR="00DF509A" w:rsidRPr="00863AAE">
        <w:rPr>
          <w:rFonts w:asciiTheme="majorBidi" w:hAnsiTheme="majorBidi" w:cstheme="majorBidi"/>
          <w:i/>
          <w:iCs/>
        </w:rPr>
        <w:t>C. cauliflora</w:t>
      </w:r>
      <w:r w:rsidR="003B15C4" w:rsidRPr="00863AAE">
        <w:rPr>
          <w:rFonts w:asciiTheme="majorBidi" w:hAnsiTheme="majorBidi" w:cstheme="majorBidi"/>
        </w:rPr>
        <w:t xml:space="preserve"> </w:t>
      </w:r>
      <w:r w:rsidR="003B15C4" w:rsidRPr="00863AAE">
        <w:rPr>
          <w:rFonts w:asciiTheme="majorBidi" w:hAnsiTheme="majorBidi" w:cstheme="majorBidi"/>
          <w:lang w:val="en-US"/>
        </w:rPr>
        <w:t xml:space="preserve">extract treatment elicited a significant reduction in serum levels of glucose and insulin </w:t>
      </w:r>
      <w:r w:rsidR="003B15C4" w:rsidRPr="00863AAE">
        <w:rPr>
          <w:rFonts w:asciiTheme="majorBidi" w:hAnsiTheme="majorBidi" w:cstheme="majorBidi"/>
        </w:rPr>
        <w:t>compared to the HFD control group</w:t>
      </w:r>
      <w:r w:rsidR="003B15C4" w:rsidRPr="00863AAE">
        <w:rPr>
          <w:rFonts w:asciiTheme="majorBidi" w:hAnsiTheme="majorBidi" w:cstheme="majorBidi"/>
          <w:lang w:val="en-US"/>
        </w:rPr>
        <w:t xml:space="preserve">. </w:t>
      </w:r>
      <w:r w:rsidR="0056726B" w:rsidRPr="00863AAE">
        <w:rPr>
          <w:rFonts w:asciiTheme="majorBidi" w:hAnsiTheme="majorBidi" w:cstheme="majorBidi"/>
        </w:rPr>
        <w:t>In addition</w:t>
      </w:r>
      <w:r w:rsidR="00D647FF" w:rsidRPr="00863AAE">
        <w:rPr>
          <w:rFonts w:asciiTheme="majorBidi" w:hAnsiTheme="majorBidi" w:cstheme="majorBidi"/>
        </w:rPr>
        <w:t xml:space="preserve">, histology examination showed that accumulation of hepatic lipid droplets induced by HFD was reduced markedly by </w:t>
      </w:r>
      <w:r w:rsidR="00DF509A" w:rsidRPr="00863AAE">
        <w:rPr>
          <w:rFonts w:asciiTheme="majorBidi" w:hAnsiTheme="majorBidi" w:cstheme="majorBidi"/>
          <w:i/>
          <w:iCs/>
        </w:rPr>
        <w:t>C. cauliflora</w:t>
      </w:r>
      <w:r w:rsidR="00D647FF" w:rsidRPr="00863AAE">
        <w:rPr>
          <w:rFonts w:asciiTheme="majorBidi" w:hAnsiTheme="majorBidi" w:cstheme="majorBidi"/>
        </w:rPr>
        <w:t xml:space="preserve">. </w:t>
      </w:r>
      <w:r w:rsidR="003B15C4" w:rsidRPr="00863AAE">
        <w:rPr>
          <w:rFonts w:asciiTheme="majorBidi" w:hAnsiTheme="majorBidi" w:cstheme="majorBidi"/>
        </w:rPr>
        <w:t xml:space="preserve">The present study thus concludes that </w:t>
      </w:r>
      <w:r w:rsidR="00DF509A" w:rsidRPr="00863AAE">
        <w:rPr>
          <w:rFonts w:asciiTheme="majorBidi" w:hAnsiTheme="majorBidi" w:cstheme="majorBidi"/>
          <w:i/>
          <w:iCs/>
        </w:rPr>
        <w:t>C. cauliflora</w:t>
      </w:r>
      <w:r w:rsidR="003B15C4" w:rsidRPr="00863AAE">
        <w:rPr>
          <w:rFonts w:asciiTheme="majorBidi" w:hAnsiTheme="majorBidi" w:cstheme="majorBidi"/>
        </w:rPr>
        <w:t xml:space="preserve"> possess hypolipidemic activity that protects the body against adverse effects of high fat diet-induced obesity</w:t>
      </w:r>
      <w:r w:rsidR="003B15C4" w:rsidRPr="00863AAE">
        <w:rPr>
          <w:rFonts w:asciiTheme="majorBidi" w:hAnsiTheme="majorBidi" w:cstheme="majorBidi"/>
          <w:lang w:val="en-US"/>
        </w:rPr>
        <w:t xml:space="preserve">, possibly through lipid lowering action and </w:t>
      </w:r>
      <w:r w:rsidR="005B6B58" w:rsidRPr="00863AAE">
        <w:rPr>
          <w:rFonts w:asciiTheme="majorBidi" w:hAnsiTheme="majorBidi" w:cstheme="majorBidi"/>
          <w:lang w:val="en-US"/>
        </w:rPr>
        <w:t xml:space="preserve">improving the </w:t>
      </w:r>
      <w:r w:rsidR="003B15C4" w:rsidRPr="00863AAE">
        <w:rPr>
          <w:rFonts w:asciiTheme="majorBidi" w:hAnsiTheme="majorBidi" w:cstheme="majorBidi"/>
          <w:lang w:val="en-US"/>
        </w:rPr>
        <w:t>insulin sensitivity</w:t>
      </w:r>
      <w:r w:rsidR="003B15C4" w:rsidRPr="00863AAE">
        <w:rPr>
          <w:rFonts w:asciiTheme="majorBidi" w:hAnsiTheme="majorBidi" w:cstheme="majorBidi"/>
        </w:rPr>
        <w:t xml:space="preserve">. Besides, these findings support traditional knowledge and suggest that </w:t>
      </w:r>
      <w:bookmarkStart w:id="1" w:name="OLE_LINK1"/>
      <w:r w:rsidR="00DF509A" w:rsidRPr="00863AAE">
        <w:rPr>
          <w:rFonts w:asciiTheme="majorBidi" w:hAnsiTheme="majorBidi" w:cstheme="majorBidi"/>
          <w:i/>
          <w:iCs/>
        </w:rPr>
        <w:t>C. cauliflora</w:t>
      </w:r>
      <w:r w:rsidR="003B15C4" w:rsidRPr="00863AAE">
        <w:rPr>
          <w:rFonts w:asciiTheme="majorBidi" w:hAnsiTheme="majorBidi" w:cstheme="majorBidi"/>
        </w:rPr>
        <w:t xml:space="preserve"> </w:t>
      </w:r>
      <w:bookmarkEnd w:id="1"/>
      <w:r w:rsidR="003B15C4" w:rsidRPr="00863AAE">
        <w:rPr>
          <w:rFonts w:asciiTheme="majorBidi" w:hAnsiTheme="majorBidi" w:cstheme="majorBidi"/>
        </w:rPr>
        <w:t xml:space="preserve">may potentially be useful for managing </w:t>
      </w:r>
      <w:r w:rsidR="0056726B" w:rsidRPr="00863AAE">
        <w:rPr>
          <w:rFonts w:asciiTheme="majorBidi" w:hAnsiTheme="majorBidi" w:cstheme="majorBidi"/>
        </w:rPr>
        <w:t xml:space="preserve">obesity and </w:t>
      </w:r>
      <w:r w:rsidR="003B15C4" w:rsidRPr="00863AAE">
        <w:rPr>
          <w:rFonts w:asciiTheme="majorBidi" w:hAnsiTheme="majorBidi" w:cstheme="majorBidi"/>
        </w:rPr>
        <w:t>hyperlipidemia.</w:t>
      </w:r>
    </w:p>
    <w:p w14:paraId="69D530C0" w14:textId="77777777" w:rsidR="00863AAE" w:rsidRPr="00863AAE" w:rsidRDefault="00863AAE" w:rsidP="0056726B">
      <w:pPr>
        <w:jc w:val="both"/>
        <w:rPr>
          <w:rFonts w:asciiTheme="majorBidi" w:hAnsiTheme="majorBidi" w:cstheme="majorBidi"/>
        </w:rPr>
      </w:pPr>
    </w:p>
    <w:p w14:paraId="22DE66EA" w14:textId="77777777" w:rsidR="0090462C" w:rsidRPr="00863AAE" w:rsidRDefault="0090462C" w:rsidP="003B15C4">
      <w:pPr>
        <w:jc w:val="both"/>
        <w:rPr>
          <w:rFonts w:asciiTheme="majorBidi" w:hAnsiTheme="majorBidi" w:cstheme="majorBidi"/>
        </w:rPr>
      </w:pPr>
    </w:p>
    <w:p w14:paraId="491EDA5A" w14:textId="64E981F2" w:rsidR="00A21188" w:rsidRPr="00863AAE" w:rsidRDefault="001F345D" w:rsidP="00863AAE">
      <w:pPr>
        <w:jc w:val="both"/>
        <w:rPr>
          <w:rFonts w:asciiTheme="majorBidi" w:hAnsiTheme="majorBidi" w:cstheme="majorBidi"/>
        </w:rPr>
      </w:pPr>
      <w:r w:rsidRPr="00863AAE">
        <w:rPr>
          <w:rFonts w:asciiTheme="majorBidi" w:hAnsiTheme="majorBidi" w:cstheme="majorBidi"/>
        </w:rPr>
        <w:t>Recent Publications</w:t>
      </w:r>
    </w:p>
    <w:p w14:paraId="0A2B4FE5" w14:textId="77777777" w:rsidR="00105E1A" w:rsidRPr="00863AAE" w:rsidRDefault="00105E1A" w:rsidP="00863AAE">
      <w:pPr>
        <w:jc w:val="both"/>
        <w:rPr>
          <w:rFonts w:asciiTheme="majorBidi" w:hAnsiTheme="majorBidi" w:cstheme="majorBidi"/>
        </w:rPr>
      </w:pPr>
    </w:p>
    <w:p w14:paraId="280A4B72" w14:textId="7685E83C" w:rsidR="001F345D" w:rsidRPr="00863AAE" w:rsidRDefault="001F345D" w:rsidP="00863AAE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</w:rPr>
      </w:pPr>
      <w:r w:rsidRPr="00863AAE">
        <w:rPr>
          <w:rFonts w:asciiTheme="majorBidi" w:hAnsiTheme="majorBidi" w:cstheme="majorBidi"/>
        </w:rPr>
        <w:t xml:space="preserve">Seyedan, A., Alshawsh, M. A., Alshagga, M. A., Koosha, S., &amp; Mohamed, Z. (2015). Medicinal plants and their inhibitory activities against pancreatic lipase: a review. Evidence-Based Complementary and Alternative Medicine, 2015, 1-13. </w:t>
      </w:r>
      <w:hyperlink r:id="rId5" w:history="1">
        <w:r w:rsidRPr="00863AAE">
          <w:rPr>
            <w:rStyle w:val="Hyperlink"/>
            <w:rFonts w:asciiTheme="majorBidi" w:hAnsiTheme="majorBidi" w:cstheme="majorBidi"/>
          </w:rPr>
          <w:t>http://dx.doi.org/10.1155/2015/973143</w:t>
        </w:r>
      </w:hyperlink>
      <w:r w:rsidR="00105E1A" w:rsidRPr="00863AAE">
        <w:rPr>
          <w:rFonts w:asciiTheme="majorBidi" w:hAnsiTheme="majorBidi" w:cstheme="majorBidi"/>
        </w:rPr>
        <w:t>.</w:t>
      </w:r>
    </w:p>
    <w:p w14:paraId="606AA697" w14:textId="77777777" w:rsidR="00105E1A" w:rsidRPr="00863AAE" w:rsidRDefault="00105E1A" w:rsidP="00863AAE">
      <w:pPr>
        <w:pStyle w:val="ListParagraph"/>
        <w:jc w:val="both"/>
        <w:rPr>
          <w:rFonts w:asciiTheme="majorBidi" w:hAnsiTheme="majorBidi" w:cstheme="majorBidi"/>
        </w:rPr>
      </w:pPr>
    </w:p>
    <w:p w14:paraId="216D61D5" w14:textId="131C92E6" w:rsidR="001F345D" w:rsidRPr="00863AAE" w:rsidRDefault="00195084" w:rsidP="00863AAE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</w:rPr>
      </w:pPr>
      <w:r w:rsidRPr="00863AAE">
        <w:rPr>
          <w:rFonts w:asciiTheme="majorBidi" w:hAnsiTheme="majorBidi" w:cstheme="majorBidi"/>
          <w:color w:val="222222"/>
          <w:shd w:val="clear" w:color="auto" w:fill="FFFFFF"/>
        </w:rPr>
        <w:t>Seyedan, A., Alshawsh, M. A., Alshagga, M. A., &amp; Mohamed, Z. (2016). Antiobesity and Lipid Lowering Effects of Orthosiphon stamineus in High-Fat Diet-Induced Obese Mice.</w:t>
      </w:r>
      <w:r w:rsidRPr="00863AAE">
        <w:rPr>
          <w:rStyle w:val="apple-converted-space"/>
          <w:rFonts w:asciiTheme="majorBidi" w:hAnsiTheme="majorBidi" w:cstheme="majorBidi"/>
          <w:color w:val="222222"/>
          <w:shd w:val="clear" w:color="auto" w:fill="FFFFFF"/>
        </w:rPr>
        <w:t> </w:t>
      </w:r>
      <w:r w:rsidRPr="00863AAE">
        <w:rPr>
          <w:rFonts w:asciiTheme="majorBidi" w:hAnsiTheme="majorBidi" w:cstheme="majorBidi"/>
          <w:i/>
          <w:iCs/>
          <w:color w:val="222222"/>
          <w:shd w:val="clear" w:color="auto" w:fill="FFFFFF"/>
        </w:rPr>
        <w:t>Planta Medica</w:t>
      </w:r>
      <w:r w:rsidRPr="00863AAE">
        <w:rPr>
          <w:rFonts w:asciiTheme="majorBidi" w:hAnsiTheme="majorBidi" w:cstheme="majorBidi"/>
          <w:color w:val="222222"/>
          <w:shd w:val="clear" w:color="auto" w:fill="FFFFFF"/>
        </w:rPr>
        <w:t>.</w:t>
      </w:r>
    </w:p>
    <w:p w14:paraId="7EC26A9C" w14:textId="77777777" w:rsidR="00195084" w:rsidRPr="00863AAE" w:rsidRDefault="00195084" w:rsidP="00863AAE">
      <w:pPr>
        <w:pStyle w:val="ListParagraph"/>
        <w:jc w:val="both"/>
        <w:rPr>
          <w:rFonts w:asciiTheme="majorBidi" w:hAnsiTheme="majorBidi" w:cstheme="majorBidi"/>
        </w:rPr>
      </w:pPr>
    </w:p>
    <w:p w14:paraId="4A3C2AC4" w14:textId="7E0423BC" w:rsidR="00195084" w:rsidRPr="00863AAE" w:rsidRDefault="00195084" w:rsidP="00863AAE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</w:rPr>
      </w:pPr>
      <w:r w:rsidRPr="00863AAE">
        <w:rPr>
          <w:rFonts w:asciiTheme="majorBidi" w:hAnsiTheme="majorBidi" w:cstheme="majorBidi"/>
          <w:color w:val="222222"/>
          <w:shd w:val="clear" w:color="auto" w:fill="FFFFFF"/>
        </w:rPr>
        <w:t>Alshagga, M. A., Alshawsh, M. A., Seyedan, A., Alsalahi, A., Pan, Y., Mohankumar, S. K, Alkebsi, A.</w:t>
      </w:r>
      <w:r w:rsidRPr="00863AAE">
        <w:rPr>
          <w:rFonts w:asciiTheme="majorBidi" w:hAnsiTheme="majorBidi" w:cstheme="majorBidi"/>
          <w:color w:val="222222"/>
          <w:shd w:val="clear" w:color="auto" w:fill="FFFFFF"/>
        </w:rPr>
        <w:t>,</w:t>
      </w:r>
      <w:r w:rsidRPr="00863AAE">
        <w:rPr>
          <w:rFonts w:asciiTheme="majorBidi" w:hAnsiTheme="majorBidi" w:cstheme="majorBidi"/>
          <w:color w:val="222222"/>
          <w:shd w:val="clear" w:color="auto" w:fill="FFFFFF"/>
        </w:rPr>
        <w:t xml:space="preserve"> Kassim,</w:t>
      </w:r>
      <w:r w:rsidRPr="00863AAE">
        <w:rPr>
          <w:rFonts w:asciiTheme="majorBidi" w:hAnsiTheme="majorBidi" w:cstheme="majorBidi"/>
          <w:color w:val="222222"/>
          <w:shd w:val="clear" w:color="auto" w:fill="FFFFFF"/>
        </w:rPr>
        <w:t xml:space="preserve"> </w:t>
      </w:r>
      <w:r w:rsidRPr="00863AAE">
        <w:rPr>
          <w:rFonts w:asciiTheme="majorBidi" w:hAnsiTheme="majorBidi" w:cstheme="majorBidi"/>
          <w:color w:val="222222"/>
          <w:shd w:val="clear" w:color="auto" w:fill="FFFFFF"/>
        </w:rPr>
        <w:t>S. &amp; Mohamed, Z. (2016). Khat (Catha edulis) and Obesity: A Scoping Review of Animal and Human Studies.</w:t>
      </w:r>
      <w:r w:rsidRPr="00863AAE">
        <w:rPr>
          <w:rStyle w:val="apple-converted-space"/>
          <w:rFonts w:asciiTheme="majorBidi" w:hAnsiTheme="majorBidi" w:cstheme="majorBidi"/>
          <w:color w:val="222222"/>
          <w:shd w:val="clear" w:color="auto" w:fill="FFFFFF"/>
        </w:rPr>
        <w:t> </w:t>
      </w:r>
      <w:r w:rsidRPr="00863AAE">
        <w:rPr>
          <w:rFonts w:asciiTheme="majorBidi" w:hAnsiTheme="majorBidi" w:cstheme="majorBidi"/>
          <w:i/>
          <w:iCs/>
          <w:color w:val="222222"/>
          <w:shd w:val="clear" w:color="auto" w:fill="FFFFFF"/>
        </w:rPr>
        <w:t>Annals of Nutrition and Metabolism</w:t>
      </w:r>
      <w:r w:rsidRPr="00863AAE">
        <w:rPr>
          <w:rFonts w:asciiTheme="majorBidi" w:hAnsiTheme="majorBidi" w:cstheme="majorBidi"/>
          <w:color w:val="222222"/>
          <w:shd w:val="clear" w:color="auto" w:fill="FFFFFF"/>
        </w:rPr>
        <w:t>,</w:t>
      </w:r>
      <w:r w:rsidRPr="00863AAE">
        <w:rPr>
          <w:rStyle w:val="apple-converted-space"/>
          <w:rFonts w:asciiTheme="majorBidi" w:hAnsiTheme="majorBidi" w:cstheme="majorBidi"/>
          <w:color w:val="222222"/>
          <w:shd w:val="clear" w:color="auto" w:fill="FFFFFF"/>
        </w:rPr>
        <w:t> </w:t>
      </w:r>
      <w:r w:rsidRPr="00863AAE">
        <w:rPr>
          <w:rFonts w:asciiTheme="majorBidi" w:hAnsiTheme="majorBidi" w:cstheme="majorBidi"/>
          <w:i/>
          <w:iCs/>
          <w:color w:val="222222"/>
          <w:shd w:val="clear" w:color="auto" w:fill="FFFFFF"/>
        </w:rPr>
        <w:t>69</w:t>
      </w:r>
      <w:r w:rsidRPr="00863AAE">
        <w:rPr>
          <w:rFonts w:asciiTheme="majorBidi" w:hAnsiTheme="majorBidi" w:cstheme="majorBidi"/>
          <w:color w:val="222222"/>
          <w:shd w:val="clear" w:color="auto" w:fill="FFFFFF"/>
        </w:rPr>
        <w:t>(3-4), 200-211.</w:t>
      </w:r>
    </w:p>
    <w:p w14:paraId="3146A8B1" w14:textId="77777777" w:rsidR="00195084" w:rsidRPr="00863AAE" w:rsidRDefault="00195084" w:rsidP="00863AAE">
      <w:pPr>
        <w:pStyle w:val="ListParagraph"/>
        <w:jc w:val="both"/>
        <w:rPr>
          <w:rFonts w:asciiTheme="majorBidi" w:hAnsiTheme="majorBidi" w:cstheme="majorBidi"/>
        </w:rPr>
      </w:pPr>
    </w:p>
    <w:p w14:paraId="2EC53914" w14:textId="1802899C" w:rsidR="00195084" w:rsidRPr="00863AAE" w:rsidRDefault="00195084" w:rsidP="00863AAE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</w:rPr>
      </w:pPr>
      <w:r w:rsidRPr="00863AAE">
        <w:rPr>
          <w:rFonts w:asciiTheme="majorBidi" w:hAnsiTheme="majorBidi" w:cstheme="majorBidi"/>
          <w:color w:val="222222"/>
          <w:shd w:val="clear" w:color="auto" w:fill="FFFFFF"/>
        </w:rPr>
        <w:t xml:space="preserve">Yahya, F., Mamat, S. S., Kamarolzaman, M. F. F., Seyedan, A. A., Jakius, K. F., Mahmood, N. D., Shahril, M.S., Suhaili, Z., Mohtarrudin, N., Susanti, D. and Somchit, M.N., &amp; Somchit, M. N. (2013). Hepatoprotective activity of methanolic extract of </w:t>
      </w:r>
      <w:r w:rsidRPr="00863AAE">
        <w:rPr>
          <w:rFonts w:asciiTheme="majorBidi" w:hAnsiTheme="majorBidi" w:cstheme="majorBidi"/>
          <w:color w:val="222222"/>
          <w:shd w:val="clear" w:color="auto" w:fill="FFFFFF"/>
        </w:rPr>
        <w:lastRenderedPageBreak/>
        <w:t>Bauhinia purpurea leaves against paracetamol-induced hepatic damage in rats.</w:t>
      </w:r>
      <w:r w:rsidRPr="00863AAE">
        <w:rPr>
          <w:rStyle w:val="apple-converted-space"/>
          <w:rFonts w:asciiTheme="majorBidi" w:hAnsiTheme="majorBidi" w:cstheme="majorBidi"/>
          <w:color w:val="222222"/>
          <w:shd w:val="clear" w:color="auto" w:fill="FFFFFF"/>
        </w:rPr>
        <w:t> </w:t>
      </w:r>
      <w:r w:rsidRPr="00863AAE">
        <w:rPr>
          <w:rFonts w:asciiTheme="majorBidi" w:hAnsiTheme="majorBidi" w:cstheme="majorBidi"/>
          <w:i/>
          <w:iCs/>
          <w:color w:val="222222"/>
          <w:shd w:val="clear" w:color="auto" w:fill="FFFFFF"/>
        </w:rPr>
        <w:t>Evidence-Based Complementary and Alternative Medicine</w:t>
      </w:r>
      <w:r w:rsidRPr="00863AAE">
        <w:rPr>
          <w:rFonts w:asciiTheme="majorBidi" w:hAnsiTheme="majorBidi" w:cstheme="majorBidi"/>
          <w:color w:val="222222"/>
          <w:shd w:val="clear" w:color="auto" w:fill="FFFFFF"/>
        </w:rPr>
        <w:t>,</w:t>
      </w:r>
      <w:r w:rsidRPr="00863AAE">
        <w:rPr>
          <w:rStyle w:val="apple-converted-space"/>
          <w:rFonts w:asciiTheme="majorBidi" w:hAnsiTheme="majorBidi" w:cstheme="majorBidi"/>
          <w:color w:val="222222"/>
          <w:shd w:val="clear" w:color="auto" w:fill="FFFFFF"/>
        </w:rPr>
        <w:t> </w:t>
      </w:r>
      <w:r w:rsidRPr="00863AAE">
        <w:rPr>
          <w:rFonts w:asciiTheme="majorBidi" w:hAnsiTheme="majorBidi" w:cstheme="majorBidi"/>
          <w:i/>
          <w:iCs/>
          <w:color w:val="222222"/>
          <w:shd w:val="clear" w:color="auto" w:fill="FFFFFF"/>
        </w:rPr>
        <w:t>2013</w:t>
      </w:r>
      <w:r w:rsidRPr="00863AAE">
        <w:rPr>
          <w:rFonts w:asciiTheme="majorBidi" w:hAnsiTheme="majorBidi" w:cstheme="majorBidi"/>
          <w:color w:val="222222"/>
          <w:shd w:val="clear" w:color="auto" w:fill="FFFFFF"/>
        </w:rPr>
        <w:t>.</w:t>
      </w:r>
    </w:p>
    <w:p w14:paraId="352FF31C" w14:textId="77777777" w:rsidR="00806FE0" w:rsidRPr="00863AAE" w:rsidRDefault="00806FE0" w:rsidP="00863AAE">
      <w:pPr>
        <w:pStyle w:val="ListParagraph"/>
        <w:rPr>
          <w:rFonts w:asciiTheme="majorBidi" w:hAnsiTheme="majorBidi" w:cstheme="majorBidi"/>
        </w:rPr>
      </w:pPr>
    </w:p>
    <w:p w14:paraId="326DB11A" w14:textId="67EBE720" w:rsidR="00806FE0" w:rsidRPr="00863AAE" w:rsidRDefault="00806FE0" w:rsidP="00863AAE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</w:rPr>
      </w:pPr>
      <w:r w:rsidRPr="00863AAE">
        <w:rPr>
          <w:rFonts w:asciiTheme="majorBidi" w:hAnsiTheme="majorBidi" w:cstheme="majorBidi"/>
          <w:color w:val="222222"/>
          <w:shd w:val="clear" w:color="auto" w:fill="FFFFFF"/>
        </w:rPr>
        <w:t>Koosha, S., Alshawsh, M. A., Looi, C. Y., Seyedan, A., &amp; Mohamed, Z. (2016). An association map on the effect of flavonoids on the signaling pathways in colorectal cancer.</w:t>
      </w:r>
      <w:r w:rsidRPr="00863AAE">
        <w:rPr>
          <w:rStyle w:val="apple-converted-space"/>
          <w:rFonts w:asciiTheme="majorBidi" w:hAnsiTheme="majorBidi" w:cstheme="majorBidi"/>
          <w:color w:val="222222"/>
          <w:shd w:val="clear" w:color="auto" w:fill="FFFFFF"/>
        </w:rPr>
        <w:t> </w:t>
      </w:r>
      <w:r w:rsidRPr="00863AAE">
        <w:rPr>
          <w:rFonts w:asciiTheme="majorBidi" w:hAnsiTheme="majorBidi" w:cstheme="majorBidi"/>
          <w:i/>
          <w:iCs/>
          <w:color w:val="222222"/>
          <w:shd w:val="clear" w:color="auto" w:fill="FFFFFF"/>
        </w:rPr>
        <w:t>International journal of medical sciences</w:t>
      </w:r>
      <w:r w:rsidRPr="00863AAE">
        <w:rPr>
          <w:rFonts w:asciiTheme="majorBidi" w:hAnsiTheme="majorBidi" w:cstheme="majorBidi"/>
          <w:color w:val="222222"/>
          <w:shd w:val="clear" w:color="auto" w:fill="FFFFFF"/>
        </w:rPr>
        <w:t>,</w:t>
      </w:r>
      <w:r w:rsidRPr="00863AAE">
        <w:rPr>
          <w:rStyle w:val="apple-converted-space"/>
          <w:rFonts w:asciiTheme="majorBidi" w:hAnsiTheme="majorBidi" w:cstheme="majorBidi"/>
          <w:color w:val="222222"/>
          <w:shd w:val="clear" w:color="auto" w:fill="FFFFFF"/>
        </w:rPr>
        <w:t> </w:t>
      </w:r>
      <w:r w:rsidRPr="00863AAE">
        <w:rPr>
          <w:rFonts w:asciiTheme="majorBidi" w:hAnsiTheme="majorBidi" w:cstheme="majorBidi"/>
          <w:i/>
          <w:iCs/>
          <w:color w:val="222222"/>
          <w:shd w:val="clear" w:color="auto" w:fill="FFFFFF"/>
        </w:rPr>
        <w:t>13</w:t>
      </w:r>
      <w:r w:rsidRPr="00863AAE">
        <w:rPr>
          <w:rFonts w:asciiTheme="majorBidi" w:hAnsiTheme="majorBidi" w:cstheme="majorBidi"/>
          <w:color w:val="222222"/>
          <w:shd w:val="clear" w:color="auto" w:fill="FFFFFF"/>
        </w:rPr>
        <w:t>(5), 374.</w:t>
      </w:r>
    </w:p>
    <w:p w14:paraId="2ADCEA7D" w14:textId="77777777" w:rsidR="00806FE0" w:rsidRPr="00863AAE" w:rsidRDefault="00806FE0" w:rsidP="00863AAE">
      <w:pPr>
        <w:pStyle w:val="ListParagraph"/>
        <w:rPr>
          <w:rFonts w:asciiTheme="majorBidi" w:hAnsiTheme="majorBidi" w:cstheme="majorBidi"/>
        </w:rPr>
      </w:pPr>
    </w:p>
    <w:p w14:paraId="600E97A8" w14:textId="56EEA397" w:rsidR="00806FE0" w:rsidRPr="00863AAE" w:rsidRDefault="00806FE0" w:rsidP="00863AAE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</w:rPr>
      </w:pPr>
      <w:r w:rsidRPr="00863AAE">
        <w:rPr>
          <w:rFonts w:asciiTheme="majorBidi" w:hAnsiTheme="majorBidi" w:cstheme="majorBidi"/>
          <w:color w:val="222222"/>
          <w:shd w:val="clear" w:color="auto" w:fill="FFFFFF"/>
        </w:rPr>
        <w:t xml:space="preserve">Seyyedan, A., Yahya, F., Kamarolzaman, M. F. F., Suhaili, Z., Mohd, M. N., Desa, H. M. K., </w:t>
      </w:r>
      <w:r w:rsidR="00090F8F" w:rsidRPr="00863AAE">
        <w:rPr>
          <w:rFonts w:asciiTheme="majorBidi" w:hAnsiTheme="majorBidi" w:cstheme="majorBidi"/>
          <w:color w:val="222222"/>
          <w:shd w:val="clear" w:color="auto" w:fill="FFFFFF"/>
        </w:rPr>
        <w:t>Somchit, M.N., Fatimah, C.A., Teh, L.K., Zaki, M.</w:t>
      </w:r>
      <w:r w:rsidR="00090F8F" w:rsidRPr="00863AAE">
        <w:rPr>
          <w:rFonts w:asciiTheme="majorBidi" w:hAnsiTheme="majorBidi" w:cstheme="majorBidi"/>
          <w:color w:val="222222"/>
          <w:shd w:val="clear" w:color="auto" w:fill="FFFFFF"/>
        </w:rPr>
        <w:t xml:space="preserve"> </w:t>
      </w:r>
      <w:r w:rsidRPr="00863AAE">
        <w:rPr>
          <w:rFonts w:asciiTheme="majorBidi" w:hAnsiTheme="majorBidi" w:cstheme="majorBidi"/>
          <w:color w:val="222222"/>
          <w:shd w:val="clear" w:color="auto" w:fill="FFFFFF"/>
        </w:rPr>
        <w:t>&amp; Salleh, Z. A. Z. (2013). Review on the ethnomedicinal, phytochemical and pharmacological properties of Piper sarmentosum: scientific justification of its traditional use.</w:t>
      </w:r>
      <w:r w:rsidRPr="00863AAE">
        <w:rPr>
          <w:rStyle w:val="apple-converted-space"/>
          <w:rFonts w:asciiTheme="majorBidi" w:hAnsiTheme="majorBidi" w:cstheme="majorBidi"/>
          <w:color w:val="222222"/>
          <w:shd w:val="clear" w:color="auto" w:fill="FFFFFF"/>
        </w:rPr>
        <w:t> </w:t>
      </w:r>
      <w:r w:rsidRPr="00863AAE">
        <w:rPr>
          <w:rFonts w:asciiTheme="majorBidi" w:hAnsiTheme="majorBidi" w:cstheme="majorBidi"/>
          <w:i/>
          <w:iCs/>
          <w:color w:val="222222"/>
          <w:shd w:val="clear" w:color="auto" w:fill="FFFFFF"/>
        </w:rPr>
        <w:t>TANG</w:t>
      </w:r>
      <w:r w:rsidRPr="00863AAE">
        <w:rPr>
          <w:rFonts w:asciiTheme="majorBidi" w:hAnsiTheme="majorBidi" w:cstheme="majorBidi"/>
          <w:color w:val="222222"/>
          <w:shd w:val="clear" w:color="auto" w:fill="FFFFFF"/>
        </w:rPr>
        <w:t>,</w:t>
      </w:r>
      <w:r w:rsidRPr="00863AAE">
        <w:rPr>
          <w:rStyle w:val="apple-converted-space"/>
          <w:rFonts w:asciiTheme="majorBidi" w:hAnsiTheme="majorBidi" w:cstheme="majorBidi"/>
          <w:color w:val="222222"/>
          <w:shd w:val="clear" w:color="auto" w:fill="FFFFFF"/>
        </w:rPr>
        <w:t> </w:t>
      </w:r>
      <w:r w:rsidRPr="00863AAE">
        <w:rPr>
          <w:rFonts w:asciiTheme="majorBidi" w:hAnsiTheme="majorBidi" w:cstheme="majorBidi"/>
          <w:i/>
          <w:iCs/>
          <w:color w:val="222222"/>
          <w:shd w:val="clear" w:color="auto" w:fill="FFFFFF"/>
        </w:rPr>
        <w:t>3</w:t>
      </w:r>
      <w:r w:rsidRPr="00863AAE">
        <w:rPr>
          <w:rFonts w:asciiTheme="majorBidi" w:hAnsiTheme="majorBidi" w:cstheme="majorBidi"/>
          <w:color w:val="222222"/>
          <w:shd w:val="clear" w:color="auto" w:fill="FFFFFF"/>
        </w:rPr>
        <w:t>(3), 1-32.</w:t>
      </w:r>
    </w:p>
    <w:p w14:paraId="3FAB8324" w14:textId="77777777" w:rsidR="00A21188" w:rsidRPr="00863AAE" w:rsidRDefault="00A21188" w:rsidP="00863AAE">
      <w:pPr>
        <w:jc w:val="both"/>
        <w:rPr>
          <w:rFonts w:asciiTheme="majorBidi" w:hAnsiTheme="majorBidi" w:cstheme="majorBidi"/>
        </w:rPr>
      </w:pPr>
    </w:p>
    <w:p w14:paraId="712A5DEA" w14:textId="7006358A" w:rsidR="001F345D" w:rsidRPr="00863AAE" w:rsidRDefault="001F345D" w:rsidP="00863AAE">
      <w:pPr>
        <w:jc w:val="both"/>
        <w:rPr>
          <w:rFonts w:asciiTheme="majorBidi" w:hAnsiTheme="majorBidi" w:cstheme="majorBidi"/>
        </w:rPr>
      </w:pPr>
    </w:p>
    <w:p w14:paraId="31D2CAC1" w14:textId="77777777" w:rsidR="00A21188" w:rsidRPr="00863AAE" w:rsidRDefault="00A21188" w:rsidP="00863AAE">
      <w:pPr>
        <w:jc w:val="both"/>
        <w:rPr>
          <w:rFonts w:asciiTheme="majorBidi" w:hAnsiTheme="majorBidi" w:cstheme="majorBidi"/>
        </w:rPr>
      </w:pPr>
      <w:r w:rsidRPr="00863AAE">
        <w:rPr>
          <w:rFonts w:asciiTheme="majorBidi" w:hAnsiTheme="majorBidi" w:cstheme="majorBidi"/>
        </w:rPr>
        <w:t>Biography</w:t>
      </w:r>
    </w:p>
    <w:p w14:paraId="7EB91D4F" w14:textId="77777777" w:rsidR="00A21188" w:rsidRPr="00863AAE" w:rsidRDefault="00A21188" w:rsidP="00863AAE">
      <w:pPr>
        <w:jc w:val="both"/>
        <w:rPr>
          <w:rFonts w:asciiTheme="majorBidi" w:hAnsiTheme="majorBidi" w:cstheme="majorBidi"/>
        </w:rPr>
      </w:pPr>
    </w:p>
    <w:p w14:paraId="1EA65FAE" w14:textId="1E60BABB" w:rsidR="00A21188" w:rsidRPr="00863AAE" w:rsidRDefault="00A21188" w:rsidP="00863AAE">
      <w:pPr>
        <w:jc w:val="both"/>
        <w:rPr>
          <w:rFonts w:asciiTheme="majorBidi" w:hAnsiTheme="majorBidi" w:cstheme="majorBidi"/>
        </w:rPr>
      </w:pPr>
      <w:r w:rsidRPr="00863AAE">
        <w:rPr>
          <w:rFonts w:asciiTheme="majorBidi" w:hAnsiTheme="majorBidi" w:cstheme="majorBidi"/>
        </w:rPr>
        <w:t xml:space="preserve">I am Atefehalsadat Seyedan, </w:t>
      </w:r>
      <w:r w:rsidR="005B6B58" w:rsidRPr="00863AAE">
        <w:rPr>
          <w:rFonts w:asciiTheme="majorBidi" w:hAnsiTheme="majorBidi" w:cstheme="majorBidi"/>
        </w:rPr>
        <w:t xml:space="preserve">a </w:t>
      </w:r>
      <w:r w:rsidR="005144EC" w:rsidRPr="00863AAE">
        <w:rPr>
          <w:rFonts w:asciiTheme="majorBidi" w:hAnsiTheme="majorBidi" w:cstheme="majorBidi"/>
        </w:rPr>
        <w:t xml:space="preserve">PhD </w:t>
      </w:r>
      <w:r w:rsidRPr="00863AAE">
        <w:rPr>
          <w:rFonts w:asciiTheme="majorBidi" w:hAnsiTheme="majorBidi" w:cstheme="majorBidi"/>
        </w:rPr>
        <w:t xml:space="preserve">student of Pharmacology </w:t>
      </w:r>
      <w:r w:rsidR="005B6B58" w:rsidRPr="00863AAE">
        <w:rPr>
          <w:rFonts w:asciiTheme="majorBidi" w:hAnsiTheme="majorBidi" w:cstheme="majorBidi"/>
        </w:rPr>
        <w:t xml:space="preserve">at </w:t>
      </w:r>
      <w:r w:rsidRPr="00863AAE">
        <w:rPr>
          <w:rFonts w:asciiTheme="majorBidi" w:hAnsiTheme="majorBidi" w:cstheme="majorBidi"/>
        </w:rPr>
        <w:t xml:space="preserve">University Malaya, Kuala lumpur, Malaysia. </w:t>
      </w:r>
      <w:r w:rsidR="00863AAE" w:rsidRPr="00863AAE">
        <w:rPr>
          <w:rFonts w:asciiTheme="majorBidi" w:hAnsiTheme="majorBidi" w:cstheme="majorBidi"/>
        </w:rPr>
        <w:t>My current field of research interest mainly focuses on pharmacological and evaluation of natural products for the treatment of obesity and diabetes using </w:t>
      </w:r>
      <w:r w:rsidR="00863AAE" w:rsidRPr="00863AAE">
        <w:rPr>
          <w:rFonts w:asciiTheme="majorBidi" w:hAnsiTheme="majorBidi" w:cstheme="majorBidi"/>
          <w:i/>
          <w:iCs/>
        </w:rPr>
        <w:t>in vivo</w:t>
      </w:r>
      <w:r w:rsidR="00863AAE" w:rsidRPr="00863AAE">
        <w:rPr>
          <w:rFonts w:asciiTheme="majorBidi" w:hAnsiTheme="majorBidi" w:cstheme="majorBidi"/>
        </w:rPr>
        <w:t> (animal models) and </w:t>
      </w:r>
      <w:r w:rsidR="00863AAE" w:rsidRPr="00863AAE">
        <w:rPr>
          <w:rFonts w:asciiTheme="majorBidi" w:hAnsiTheme="majorBidi" w:cstheme="majorBidi"/>
          <w:i/>
          <w:iCs/>
        </w:rPr>
        <w:t>in vitro</w:t>
      </w:r>
      <w:r w:rsidR="00863AAE" w:rsidRPr="00863AAE">
        <w:rPr>
          <w:rFonts w:asciiTheme="majorBidi" w:hAnsiTheme="majorBidi" w:cstheme="majorBidi"/>
        </w:rPr>
        <w:t> (cell culture) studies and investigating the gene expression profiling to unravel the underlying molecular mechanisms involved. I have published 7 papers in peer-reviewed journals and have given over 5 poster presentations at international conferences.</w:t>
      </w:r>
    </w:p>
    <w:p w14:paraId="6FB152FA" w14:textId="77777777" w:rsidR="00A21188" w:rsidRPr="00863AAE" w:rsidRDefault="00A21188" w:rsidP="00863AAE">
      <w:pPr>
        <w:jc w:val="both"/>
        <w:rPr>
          <w:rFonts w:asciiTheme="majorBidi" w:hAnsiTheme="majorBidi" w:cstheme="majorBidi"/>
        </w:rPr>
      </w:pPr>
    </w:p>
    <w:p w14:paraId="00C92694" w14:textId="77777777" w:rsidR="00A21188" w:rsidRPr="00863AAE" w:rsidRDefault="00A21188" w:rsidP="00863AAE">
      <w:pPr>
        <w:jc w:val="both"/>
        <w:rPr>
          <w:rFonts w:asciiTheme="majorBidi" w:hAnsiTheme="majorBidi" w:cstheme="majorBidi"/>
        </w:rPr>
      </w:pPr>
    </w:p>
    <w:p w14:paraId="3FD9A2A7" w14:textId="77777777" w:rsidR="00A21188" w:rsidRPr="00863AAE" w:rsidRDefault="00A21188" w:rsidP="00863AAE">
      <w:pPr>
        <w:jc w:val="both"/>
        <w:rPr>
          <w:rFonts w:asciiTheme="majorBidi" w:hAnsiTheme="majorBidi" w:cstheme="majorBidi"/>
        </w:rPr>
      </w:pPr>
      <w:r w:rsidRPr="00863AAE">
        <w:rPr>
          <w:rFonts w:asciiTheme="majorBidi" w:hAnsiTheme="majorBidi" w:cstheme="majorBidi"/>
        </w:rPr>
        <w:t xml:space="preserve">Presenting author details </w:t>
      </w:r>
    </w:p>
    <w:p w14:paraId="1B41C4ED" w14:textId="77777777" w:rsidR="00A21188" w:rsidRPr="00863AAE" w:rsidRDefault="00A21188" w:rsidP="00863AAE">
      <w:pPr>
        <w:jc w:val="both"/>
        <w:rPr>
          <w:rFonts w:asciiTheme="majorBidi" w:hAnsiTheme="majorBidi" w:cstheme="majorBidi"/>
        </w:rPr>
      </w:pPr>
      <w:r w:rsidRPr="00863AAE">
        <w:rPr>
          <w:rFonts w:asciiTheme="majorBidi" w:hAnsiTheme="majorBidi" w:cstheme="majorBidi"/>
        </w:rPr>
        <w:t>Full name: Atefehalsadat Seyedan</w:t>
      </w:r>
    </w:p>
    <w:p w14:paraId="561341F5" w14:textId="4B118AE1" w:rsidR="00A21188" w:rsidRPr="00863AAE" w:rsidRDefault="00A21188" w:rsidP="00863AAE">
      <w:pPr>
        <w:jc w:val="both"/>
        <w:rPr>
          <w:rFonts w:asciiTheme="majorBidi" w:hAnsiTheme="majorBidi" w:cstheme="majorBidi"/>
        </w:rPr>
      </w:pPr>
      <w:r w:rsidRPr="00863AAE">
        <w:rPr>
          <w:rFonts w:asciiTheme="majorBidi" w:hAnsiTheme="majorBidi" w:cstheme="majorBidi"/>
        </w:rPr>
        <w:t xml:space="preserve">Contact number: </w:t>
      </w:r>
      <w:r w:rsidR="005B6B58" w:rsidRPr="00863AAE">
        <w:rPr>
          <w:rFonts w:asciiTheme="majorBidi" w:hAnsiTheme="majorBidi" w:cstheme="majorBidi"/>
        </w:rPr>
        <w:t>+6</w:t>
      </w:r>
      <w:r w:rsidRPr="00863AAE">
        <w:rPr>
          <w:rFonts w:asciiTheme="majorBidi" w:hAnsiTheme="majorBidi" w:cstheme="majorBidi"/>
        </w:rPr>
        <w:t>0129190135</w:t>
      </w:r>
    </w:p>
    <w:p w14:paraId="3BD64599" w14:textId="77777777" w:rsidR="00A21188" w:rsidRPr="00863AAE" w:rsidRDefault="00A21188" w:rsidP="00863AAE">
      <w:pPr>
        <w:jc w:val="both"/>
        <w:rPr>
          <w:rFonts w:asciiTheme="majorBidi" w:hAnsiTheme="majorBidi" w:cstheme="majorBidi"/>
        </w:rPr>
      </w:pPr>
      <w:r w:rsidRPr="00863AAE">
        <w:rPr>
          <w:rFonts w:asciiTheme="majorBidi" w:hAnsiTheme="majorBidi" w:cstheme="majorBidi"/>
        </w:rPr>
        <w:t>Category: (Oral presentation/ Poster presentation): Poster presentation</w:t>
      </w:r>
    </w:p>
    <w:p w14:paraId="2638C025" w14:textId="77777777" w:rsidR="00D46B80" w:rsidRPr="00863AAE" w:rsidRDefault="00D46B80" w:rsidP="00863AAE">
      <w:pPr>
        <w:jc w:val="both"/>
        <w:rPr>
          <w:rFonts w:asciiTheme="majorBidi" w:hAnsiTheme="majorBidi" w:cstheme="majorBidi"/>
        </w:rPr>
      </w:pPr>
    </w:p>
    <w:sectPr w:rsidR="00D46B80" w:rsidRPr="00863AAE" w:rsidSect="001C03DE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16A04"/>
    <w:multiLevelType w:val="hybridMultilevel"/>
    <w:tmpl w:val="3D96F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B80"/>
    <w:rsid w:val="00075D48"/>
    <w:rsid w:val="00087C0C"/>
    <w:rsid w:val="00090F8F"/>
    <w:rsid w:val="000B5102"/>
    <w:rsid w:val="00105E1A"/>
    <w:rsid w:val="00171FEE"/>
    <w:rsid w:val="00195084"/>
    <w:rsid w:val="001C03DE"/>
    <w:rsid w:val="001C7390"/>
    <w:rsid w:val="001F345D"/>
    <w:rsid w:val="003B15C4"/>
    <w:rsid w:val="005144EC"/>
    <w:rsid w:val="0055050D"/>
    <w:rsid w:val="00563070"/>
    <w:rsid w:val="0056726B"/>
    <w:rsid w:val="005B6B58"/>
    <w:rsid w:val="00806FE0"/>
    <w:rsid w:val="00863AAE"/>
    <w:rsid w:val="0090462C"/>
    <w:rsid w:val="00A21188"/>
    <w:rsid w:val="00A35A4A"/>
    <w:rsid w:val="00B774EF"/>
    <w:rsid w:val="00CF3813"/>
    <w:rsid w:val="00D046BE"/>
    <w:rsid w:val="00D16EC3"/>
    <w:rsid w:val="00D46B80"/>
    <w:rsid w:val="00D647FF"/>
    <w:rsid w:val="00DF082B"/>
    <w:rsid w:val="00DF509A"/>
    <w:rsid w:val="00E43C3F"/>
    <w:rsid w:val="00E73A71"/>
    <w:rsid w:val="00ED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F29D9"/>
  <w15:chartTrackingRefBased/>
  <w15:docId w15:val="{380FB093-15FB-4E6C-8BE1-AB63A5A3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11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188"/>
    <w:rPr>
      <w:rFonts w:ascii="Segoe UI" w:eastAsia="Times New Roman" w:hAnsi="Segoe UI" w:cs="Segoe UI"/>
      <w:sz w:val="18"/>
      <w:szCs w:val="18"/>
      <w:lang w:val="it-IT" w:eastAsia="it-IT"/>
    </w:rPr>
  </w:style>
  <w:style w:type="paragraph" w:styleId="Revision">
    <w:name w:val="Revision"/>
    <w:hidden/>
    <w:uiPriority w:val="99"/>
    <w:semiHidden/>
    <w:rsid w:val="00A211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5B6B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6B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6B58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6B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6B58"/>
    <w:rPr>
      <w:rFonts w:ascii="Times New Roman" w:eastAsia="Times New Roman" w:hAnsi="Times New Roman" w:cs="Times New Roman"/>
      <w:b/>
      <w:bCs/>
      <w:sz w:val="20"/>
      <w:szCs w:val="20"/>
      <w:lang w:val="it-IT" w:eastAsia="it-IT"/>
    </w:rPr>
  </w:style>
  <w:style w:type="paragraph" w:styleId="ListParagraph">
    <w:name w:val="List Paragraph"/>
    <w:basedOn w:val="Normal"/>
    <w:uiPriority w:val="34"/>
    <w:qFormat/>
    <w:rsid w:val="001F34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345D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195084"/>
  </w:style>
  <w:style w:type="character" w:styleId="Emphasis">
    <w:name w:val="Emphasis"/>
    <w:basedOn w:val="DefaultParagraphFont"/>
    <w:uiPriority w:val="20"/>
    <w:qFormat/>
    <w:rsid w:val="005505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x.doi.org/10.1155/2015/9731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2017-02-07T15:22:00Z</dcterms:created>
  <dcterms:modified xsi:type="dcterms:W3CDTF">2017-02-16T04:09:00Z</dcterms:modified>
</cp:coreProperties>
</file>