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A6F" w:rsidRPr="007B1A6F" w:rsidRDefault="00847E04" w:rsidP="00CE1A58">
      <w:pPr>
        <w:spacing w:after="375" w:line="240" w:lineRule="auto"/>
        <w:jc w:val="right"/>
        <w:outlineLvl w:val="0"/>
        <w:rPr>
          <w:rFonts w:ascii="Arial" w:eastAsia="Times New Roman" w:hAnsi="Arial" w:cs="Arial"/>
          <w:color w:val="111111"/>
          <w:kern w:val="36"/>
          <w:sz w:val="48"/>
          <w:szCs w:val="48"/>
          <w:lang w:val="en-US"/>
        </w:rPr>
      </w:pPr>
      <w:r>
        <w:rPr>
          <w:noProof/>
        </w:rPr>
        <w:drawing>
          <wp:inline distT="0" distB="0" distL="0" distR="0">
            <wp:extent cx="1063797" cy="14097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72855" cy="1421703"/>
                    </a:xfrm>
                    <a:prstGeom prst="rect">
                      <a:avLst/>
                    </a:prstGeom>
                    <a:noFill/>
                    <a:ln>
                      <a:noFill/>
                    </a:ln>
                  </pic:spPr>
                </pic:pic>
              </a:graphicData>
            </a:graphic>
          </wp:inline>
        </w:drawing>
      </w:r>
    </w:p>
    <w:p w:rsidR="0039211C" w:rsidRPr="005F5C32" w:rsidRDefault="009B36F9" w:rsidP="005F5C32">
      <w:pPr>
        <w:pStyle w:val="Titre1"/>
        <w:shd w:val="clear" w:color="auto" w:fill="FFFFFF"/>
        <w:spacing w:before="240" w:after="120"/>
        <w:jc w:val="both"/>
        <w:rPr>
          <w:rFonts w:asciiTheme="majorBidi" w:hAnsiTheme="majorBidi" w:cstheme="majorBidi"/>
          <w:color w:val="000000"/>
          <w:sz w:val="28"/>
          <w:szCs w:val="28"/>
          <w:lang w:val="en-US"/>
        </w:rPr>
      </w:pPr>
      <w:bookmarkStart w:id="0" w:name="_GoBack"/>
      <w:r w:rsidRPr="00257C19">
        <w:rPr>
          <w:rFonts w:asciiTheme="majorBidi" w:hAnsiTheme="majorBidi" w:cstheme="majorBidi"/>
          <w:color w:val="000000"/>
          <w:sz w:val="28"/>
          <w:szCs w:val="28"/>
          <w:lang w:val="en-US"/>
        </w:rPr>
        <w:t xml:space="preserve">DFT Calculation of </w:t>
      </w:r>
      <w:proofErr w:type="spellStart"/>
      <w:r w:rsidRPr="00257C19">
        <w:rPr>
          <w:rFonts w:asciiTheme="majorBidi" w:hAnsiTheme="majorBidi" w:cstheme="majorBidi"/>
          <w:color w:val="000000"/>
          <w:sz w:val="28"/>
          <w:szCs w:val="28"/>
          <w:lang w:val="en-US"/>
        </w:rPr>
        <w:t>Diaquabis</w:t>
      </w:r>
      <w:proofErr w:type="spellEnd"/>
      <w:r w:rsidRPr="00257C19">
        <w:rPr>
          <w:rFonts w:asciiTheme="majorBidi" w:hAnsiTheme="majorBidi" w:cstheme="majorBidi"/>
          <w:color w:val="000000"/>
          <w:sz w:val="28"/>
          <w:szCs w:val="28"/>
          <w:lang w:val="en-US"/>
        </w:rPr>
        <w:t xml:space="preserve"> [4-(</w:t>
      </w:r>
      <w:proofErr w:type="spellStart"/>
      <w:r w:rsidRPr="00257C19">
        <w:rPr>
          <w:rFonts w:asciiTheme="majorBidi" w:hAnsiTheme="majorBidi" w:cstheme="majorBidi"/>
          <w:color w:val="000000"/>
          <w:sz w:val="28"/>
          <w:szCs w:val="28"/>
          <w:lang w:val="en-US"/>
        </w:rPr>
        <w:t>dimethylamino</w:t>
      </w:r>
      <w:proofErr w:type="spellEnd"/>
      <w:r w:rsidRPr="00257C19">
        <w:rPr>
          <w:rFonts w:asciiTheme="majorBidi" w:hAnsiTheme="majorBidi" w:cstheme="majorBidi"/>
          <w:color w:val="000000"/>
          <w:sz w:val="28"/>
          <w:szCs w:val="28"/>
          <w:lang w:val="en-US"/>
        </w:rPr>
        <w:t>)</w:t>
      </w:r>
      <w:r w:rsidR="00257C19">
        <w:rPr>
          <w:rFonts w:asciiTheme="majorBidi" w:hAnsiTheme="majorBidi" w:cstheme="majorBidi"/>
          <w:color w:val="000000"/>
          <w:sz w:val="28"/>
          <w:szCs w:val="28"/>
          <w:lang w:val="en-US"/>
        </w:rPr>
        <w:t xml:space="preserve"> </w:t>
      </w:r>
      <w:r w:rsidRPr="00257C19">
        <w:rPr>
          <w:rFonts w:asciiTheme="majorBidi" w:hAnsiTheme="majorBidi" w:cstheme="majorBidi"/>
          <w:color w:val="000000"/>
          <w:sz w:val="28"/>
          <w:szCs w:val="28"/>
          <w:lang w:val="en-US"/>
        </w:rPr>
        <w:t>pyridine-</w:t>
      </w:r>
      <w:r w:rsidRPr="00257C19">
        <w:rPr>
          <w:rFonts w:asciiTheme="majorBidi" w:hAnsiTheme="majorBidi" w:cstheme="majorBidi"/>
          <w:i/>
          <w:iCs/>
          <w:color w:val="000000"/>
          <w:sz w:val="28"/>
          <w:szCs w:val="28"/>
          <w:lang w:val="en-US"/>
        </w:rPr>
        <w:t>ĸN</w:t>
      </w:r>
      <w:r w:rsidRPr="00257C19">
        <w:rPr>
          <w:rFonts w:asciiTheme="majorBidi" w:hAnsiTheme="majorBidi" w:cstheme="majorBidi"/>
          <w:color w:val="000000"/>
          <w:sz w:val="28"/>
          <w:szCs w:val="28"/>
          <w:vertAlign w:val="superscript"/>
          <w:lang w:val="en-US"/>
        </w:rPr>
        <w:t>1</w:t>
      </w:r>
      <w:proofErr w:type="gramStart"/>
      <w:r w:rsidRPr="00257C19">
        <w:rPr>
          <w:rFonts w:asciiTheme="majorBidi" w:hAnsiTheme="majorBidi" w:cstheme="majorBidi"/>
          <w:color w:val="000000"/>
          <w:sz w:val="28"/>
          <w:szCs w:val="28"/>
          <w:lang w:val="en-US"/>
        </w:rPr>
        <w:t>]bis</w:t>
      </w:r>
      <w:proofErr w:type="gramEnd"/>
      <w:r w:rsidRPr="00257C19">
        <w:rPr>
          <w:rFonts w:asciiTheme="majorBidi" w:hAnsiTheme="majorBidi" w:cstheme="majorBidi"/>
          <w:color w:val="000000"/>
          <w:sz w:val="28"/>
          <w:szCs w:val="28"/>
          <w:lang w:val="en-US"/>
        </w:rPr>
        <w:t>[2-(1,3-dioxo-2,3-dihydro-1H-isoindol-2-yl)acetato</w:t>
      </w:r>
      <w:r w:rsidRPr="00257C19">
        <w:rPr>
          <w:rFonts w:asciiTheme="majorBidi" w:hAnsiTheme="majorBidi" w:cstheme="majorBidi"/>
          <w:i/>
          <w:iCs/>
          <w:color w:val="000000"/>
          <w:sz w:val="28"/>
          <w:szCs w:val="28"/>
          <w:lang w:val="en-US"/>
        </w:rPr>
        <w:t>ĸO</w:t>
      </w:r>
      <w:r w:rsidRPr="00257C19">
        <w:rPr>
          <w:rFonts w:asciiTheme="majorBidi" w:hAnsiTheme="majorBidi" w:cstheme="majorBidi"/>
          <w:color w:val="000000"/>
          <w:sz w:val="28"/>
          <w:szCs w:val="28"/>
          <w:vertAlign w:val="superscript"/>
          <w:lang w:val="en-US"/>
        </w:rPr>
        <w:t>1</w:t>
      </w:r>
      <w:r w:rsidRPr="00257C19">
        <w:rPr>
          <w:rFonts w:asciiTheme="majorBidi" w:hAnsiTheme="majorBidi" w:cstheme="majorBidi"/>
          <w:color w:val="000000"/>
          <w:sz w:val="28"/>
          <w:szCs w:val="28"/>
          <w:lang w:val="en-US"/>
        </w:rPr>
        <w:t>]</w:t>
      </w:r>
      <w:r w:rsidR="00257C19">
        <w:rPr>
          <w:rFonts w:asciiTheme="majorBidi" w:hAnsiTheme="majorBidi" w:cstheme="majorBidi"/>
          <w:color w:val="000000"/>
          <w:sz w:val="28"/>
          <w:szCs w:val="28"/>
          <w:lang w:val="en-US"/>
        </w:rPr>
        <w:t xml:space="preserve"> </w:t>
      </w:r>
      <w:r w:rsidRPr="00257C19">
        <w:rPr>
          <w:rFonts w:asciiTheme="majorBidi" w:hAnsiTheme="majorBidi" w:cstheme="majorBidi"/>
          <w:color w:val="000000"/>
          <w:sz w:val="28"/>
          <w:szCs w:val="28"/>
          <w:lang w:val="en-US"/>
        </w:rPr>
        <w:t>cobalt(II)</w:t>
      </w:r>
      <w:bookmarkEnd w:id="0"/>
    </w:p>
    <w:p w:rsidR="00847E04" w:rsidRPr="00847E04" w:rsidRDefault="00847E04" w:rsidP="00847E04">
      <w:pPr>
        <w:pStyle w:val="NormalWeb"/>
        <w:jc w:val="both"/>
        <w:rPr>
          <w:color w:val="000000"/>
          <w:vertAlign w:val="superscript"/>
        </w:rPr>
      </w:pPr>
      <w:r>
        <w:rPr>
          <w:color w:val="000000"/>
        </w:rPr>
        <w:t>Aziza Dellouche</w:t>
      </w:r>
      <w:r w:rsidRPr="00847E04">
        <w:rPr>
          <w:color w:val="000000"/>
          <w:vertAlign w:val="superscript"/>
        </w:rPr>
        <w:t>1</w:t>
      </w:r>
      <w:r w:rsidRPr="00847E04">
        <w:rPr>
          <w:color w:val="000000"/>
        </w:rPr>
        <w:t xml:space="preserve">, </w:t>
      </w:r>
      <w:r>
        <w:rPr>
          <w:color w:val="000000"/>
        </w:rPr>
        <w:t>Naouel Makouf</w:t>
      </w:r>
      <w:r w:rsidRPr="00847E04">
        <w:rPr>
          <w:color w:val="000000"/>
          <w:vertAlign w:val="superscript"/>
        </w:rPr>
        <w:t>1</w:t>
      </w:r>
      <w:r>
        <w:rPr>
          <w:color w:val="000000"/>
        </w:rPr>
        <w:t>, Rafik Menacer</w:t>
      </w:r>
      <w:r w:rsidRPr="00847E04">
        <w:rPr>
          <w:color w:val="000000"/>
          <w:vertAlign w:val="superscript"/>
        </w:rPr>
        <w:t>1</w:t>
      </w:r>
      <w:r>
        <w:rPr>
          <w:color w:val="000000"/>
        </w:rPr>
        <w:t xml:space="preserve">, </w:t>
      </w:r>
      <w:r w:rsidRPr="00847E04">
        <w:rPr>
          <w:color w:val="000000"/>
          <w:u w:val="single"/>
        </w:rPr>
        <w:t>Hénia Bouzidi Mousser</w:t>
      </w:r>
      <w:r w:rsidRPr="00847E04">
        <w:rPr>
          <w:color w:val="000000"/>
          <w:vertAlign w:val="superscript"/>
        </w:rPr>
        <w:t xml:space="preserve"> 2 </w:t>
      </w:r>
      <w:r w:rsidRPr="00847E04">
        <w:rPr>
          <w:color w:val="000000"/>
        </w:rPr>
        <w:t>and Solenne Fleutot</w:t>
      </w:r>
      <w:r w:rsidRPr="00847E04">
        <w:rPr>
          <w:color w:val="000000"/>
          <w:vertAlign w:val="superscript"/>
        </w:rPr>
        <w:t>3</w:t>
      </w:r>
    </w:p>
    <w:p w:rsidR="00847E04" w:rsidRPr="004E0CA2" w:rsidRDefault="00847E04" w:rsidP="00847E04">
      <w:pPr>
        <w:pStyle w:val="NormalWeb"/>
        <w:jc w:val="center"/>
        <w:rPr>
          <w:sz w:val="28"/>
          <w:szCs w:val="28"/>
        </w:rPr>
      </w:pPr>
    </w:p>
    <w:p w:rsidR="00847E04" w:rsidRDefault="00847E04" w:rsidP="00847E04">
      <w:pPr>
        <w:pStyle w:val="NormalWeb"/>
        <w:jc w:val="both"/>
        <w:rPr>
          <w:sz w:val="22"/>
          <w:szCs w:val="22"/>
        </w:rPr>
      </w:pPr>
      <w:r>
        <w:rPr>
          <w:sz w:val="22"/>
          <w:szCs w:val="22"/>
          <w:vertAlign w:val="superscript"/>
        </w:rPr>
        <w:t>1</w:t>
      </w:r>
      <w:r>
        <w:rPr>
          <w:sz w:val="22"/>
          <w:szCs w:val="22"/>
        </w:rPr>
        <w:t>L</w:t>
      </w:r>
      <w:r w:rsidRPr="00C94570">
        <w:rPr>
          <w:sz w:val="22"/>
          <w:szCs w:val="22"/>
        </w:rPr>
        <w:t>aboratoire de Physicochimie Analytique et Crystallochimie de Matériaux Organométalliques et Biomoléculaires,  Université des Frères Mentouri Constantine 1, 25000, Constantine, Algérie</w:t>
      </w:r>
      <w:r>
        <w:rPr>
          <w:sz w:val="22"/>
          <w:szCs w:val="22"/>
        </w:rPr>
        <w:t xml:space="preserve">. </w:t>
      </w:r>
    </w:p>
    <w:p w:rsidR="00847E04" w:rsidRDefault="00847E04" w:rsidP="00847E04">
      <w:pPr>
        <w:pStyle w:val="NormalWeb"/>
        <w:jc w:val="both"/>
        <w:rPr>
          <w:sz w:val="22"/>
          <w:szCs w:val="22"/>
        </w:rPr>
      </w:pPr>
      <w:r w:rsidRPr="00A5478C">
        <w:rPr>
          <w:sz w:val="22"/>
          <w:szCs w:val="22"/>
          <w:vertAlign w:val="superscript"/>
        </w:rPr>
        <w:t>2</w:t>
      </w:r>
      <w:r w:rsidRPr="00C94570">
        <w:rPr>
          <w:sz w:val="22"/>
          <w:szCs w:val="22"/>
        </w:rPr>
        <w:t xml:space="preserve">Ecole Normale Supérieure </w:t>
      </w:r>
      <w:r>
        <w:rPr>
          <w:sz w:val="22"/>
          <w:szCs w:val="22"/>
        </w:rPr>
        <w:t>Assia Djebar</w:t>
      </w:r>
      <w:r w:rsidRPr="00C94570">
        <w:rPr>
          <w:sz w:val="22"/>
          <w:szCs w:val="22"/>
        </w:rPr>
        <w:t xml:space="preserve"> Constantine, No</w:t>
      </w:r>
      <w:r>
        <w:rPr>
          <w:sz w:val="22"/>
          <w:szCs w:val="22"/>
        </w:rPr>
        <w:t>uvelle Ville Ali Mendjeli</w:t>
      </w:r>
      <w:r w:rsidRPr="00C94570">
        <w:rPr>
          <w:sz w:val="22"/>
          <w:szCs w:val="22"/>
        </w:rPr>
        <w:t>, Université Constantine 3, Constantine, Algérie</w:t>
      </w:r>
      <w:r>
        <w:rPr>
          <w:sz w:val="22"/>
          <w:szCs w:val="22"/>
        </w:rPr>
        <w:t>.</w:t>
      </w:r>
    </w:p>
    <w:p w:rsidR="00847E04" w:rsidRPr="00A5478C" w:rsidRDefault="00847E04" w:rsidP="00847E04">
      <w:pPr>
        <w:pStyle w:val="NormalWeb"/>
        <w:jc w:val="both"/>
        <w:rPr>
          <w:sz w:val="22"/>
          <w:szCs w:val="22"/>
        </w:rPr>
      </w:pPr>
      <w:r w:rsidRPr="00A5478C">
        <w:rPr>
          <w:sz w:val="22"/>
          <w:szCs w:val="22"/>
          <w:vertAlign w:val="superscript"/>
        </w:rPr>
        <w:t>3</w:t>
      </w:r>
      <w:r w:rsidRPr="00A5478C">
        <w:rPr>
          <w:sz w:val="22"/>
          <w:szCs w:val="22"/>
        </w:rPr>
        <w:t>Institut J</w:t>
      </w:r>
      <w:r>
        <w:rPr>
          <w:sz w:val="22"/>
          <w:szCs w:val="22"/>
        </w:rPr>
        <w:t>ean Lamour, Campus Artem, 2 allée</w:t>
      </w:r>
      <w:r w:rsidRPr="00A5478C">
        <w:rPr>
          <w:sz w:val="22"/>
          <w:szCs w:val="22"/>
        </w:rPr>
        <w:t xml:space="preserve"> </w:t>
      </w:r>
      <w:r>
        <w:rPr>
          <w:sz w:val="22"/>
          <w:szCs w:val="22"/>
        </w:rPr>
        <w:t>André</w:t>
      </w:r>
      <w:r w:rsidRPr="00A5478C">
        <w:rPr>
          <w:sz w:val="22"/>
          <w:szCs w:val="22"/>
        </w:rPr>
        <w:t xml:space="preserve"> Guinier, BP 50840, 54011, Nancy Cedex, France.</w:t>
      </w:r>
    </w:p>
    <w:p w:rsidR="00847E04" w:rsidRDefault="00847E04" w:rsidP="00DD0C10">
      <w:pPr>
        <w:spacing w:after="0" w:line="240" w:lineRule="auto"/>
        <w:jc w:val="both"/>
        <w:rPr>
          <w:rFonts w:asciiTheme="majorBidi" w:hAnsiTheme="majorBidi" w:cstheme="majorBidi"/>
          <w:sz w:val="24"/>
          <w:szCs w:val="24"/>
          <w:lang w:val="it-IT"/>
        </w:rPr>
      </w:pPr>
    </w:p>
    <w:p w:rsidR="004F4E6B" w:rsidRPr="00310A37" w:rsidRDefault="004F4E6B" w:rsidP="00657EA2">
      <w:pPr>
        <w:spacing w:after="0" w:line="240" w:lineRule="auto"/>
        <w:jc w:val="both"/>
        <w:rPr>
          <w:rFonts w:asciiTheme="majorBidi" w:hAnsiTheme="majorBidi" w:cstheme="majorBidi"/>
          <w:sz w:val="24"/>
          <w:szCs w:val="24"/>
          <w:lang w:val="en-US"/>
        </w:rPr>
      </w:pPr>
      <w:r w:rsidRPr="00310A37">
        <w:rPr>
          <w:rFonts w:asciiTheme="majorBidi" w:hAnsiTheme="majorBidi" w:cstheme="majorBidi"/>
          <w:sz w:val="24"/>
          <w:szCs w:val="24"/>
          <w:lang w:val="en-US"/>
        </w:rPr>
        <w:t xml:space="preserve">We report here </w:t>
      </w:r>
      <w:r w:rsidR="00657EA2" w:rsidRPr="00310A37">
        <w:rPr>
          <w:rFonts w:asciiTheme="majorBidi" w:hAnsiTheme="majorBidi" w:cstheme="majorBidi"/>
          <w:sz w:val="24"/>
          <w:szCs w:val="24"/>
          <w:lang w:val="en-US"/>
        </w:rPr>
        <w:t xml:space="preserve">a relativistic computational study using </w:t>
      </w:r>
      <w:r w:rsidRPr="00310A37">
        <w:rPr>
          <w:rFonts w:asciiTheme="majorBidi" w:hAnsiTheme="majorBidi" w:cstheme="majorBidi"/>
          <w:sz w:val="24"/>
          <w:szCs w:val="24"/>
          <w:lang w:val="en-US"/>
        </w:rPr>
        <w:t xml:space="preserve">Density Functional Theory (DFT) calculation of a </w:t>
      </w:r>
      <w:proofErr w:type="gramStart"/>
      <w:r w:rsidRPr="00310A37">
        <w:rPr>
          <w:rFonts w:asciiTheme="majorBidi" w:hAnsiTheme="majorBidi" w:cstheme="majorBidi"/>
          <w:sz w:val="24"/>
          <w:szCs w:val="24"/>
          <w:lang w:val="en-US"/>
        </w:rPr>
        <w:t>cobalt(</w:t>
      </w:r>
      <w:proofErr w:type="gramEnd"/>
      <w:r w:rsidRPr="00310A37">
        <w:rPr>
          <w:rFonts w:asciiTheme="majorBidi" w:hAnsiTheme="majorBidi" w:cstheme="majorBidi"/>
          <w:sz w:val="24"/>
          <w:szCs w:val="24"/>
          <w:lang w:val="en-US"/>
        </w:rPr>
        <w:t>II) complex with 4-(</w:t>
      </w:r>
      <w:proofErr w:type="spellStart"/>
      <w:r w:rsidRPr="00310A37">
        <w:rPr>
          <w:rFonts w:asciiTheme="majorBidi" w:hAnsiTheme="majorBidi" w:cstheme="majorBidi"/>
          <w:sz w:val="24"/>
          <w:szCs w:val="24"/>
          <w:lang w:val="en-US"/>
        </w:rPr>
        <w:t>dimethylamino</w:t>
      </w:r>
      <w:proofErr w:type="spellEnd"/>
      <w:r w:rsidRPr="00310A37">
        <w:rPr>
          <w:rFonts w:asciiTheme="majorBidi" w:hAnsiTheme="majorBidi" w:cstheme="majorBidi"/>
          <w:sz w:val="24"/>
          <w:szCs w:val="24"/>
          <w:lang w:val="en-US"/>
        </w:rPr>
        <w:t>)pyridine and N-</w:t>
      </w:r>
      <w:proofErr w:type="spellStart"/>
      <w:r w:rsidRPr="00310A37">
        <w:rPr>
          <w:rFonts w:asciiTheme="majorBidi" w:hAnsiTheme="majorBidi" w:cstheme="majorBidi"/>
          <w:sz w:val="24"/>
          <w:szCs w:val="24"/>
          <w:lang w:val="en-US"/>
        </w:rPr>
        <w:t>phthaloylglycine</w:t>
      </w:r>
      <w:proofErr w:type="spellEnd"/>
      <w:r w:rsidRPr="00310A37">
        <w:rPr>
          <w:rFonts w:asciiTheme="majorBidi" w:hAnsiTheme="majorBidi" w:cstheme="majorBidi"/>
          <w:sz w:val="24"/>
          <w:szCs w:val="24"/>
          <w:lang w:val="en-US"/>
        </w:rPr>
        <w:t xml:space="preserve">. </w:t>
      </w:r>
      <w:r w:rsidR="00657EA2">
        <w:rPr>
          <w:rFonts w:asciiTheme="majorBidi" w:hAnsiTheme="majorBidi" w:cstheme="majorBidi"/>
          <w:sz w:val="24"/>
          <w:szCs w:val="24"/>
          <w:lang w:val="en-US"/>
        </w:rPr>
        <w:t>In the crystalline structure t</w:t>
      </w:r>
      <w:r w:rsidRPr="00310A37">
        <w:rPr>
          <w:rFonts w:asciiTheme="majorBidi" w:hAnsiTheme="majorBidi" w:cstheme="majorBidi"/>
          <w:sz w:val="24"/>
          <w:szCs w:val="24"/>
          <w:lang w:val="en-US"/>
        </w:rPr>
        <w:t>he cobalt</w:t>
      </w:r>
      <w:r>
        <w:rPr>
          <w:rFonts w:asciiTheme="majorBidi" w:hAnsiTheme="majorBidi" w:cstheme="majorBidi"/>
          <w:sz w:val="24"/>
          <w:szCs w:val="24"/>
          <w:lang w:val="en-US"/>
        </w:rPr>
        <w:t xml:space="preserve"> </w:t>
      </w:r>
      <w:r w:rsidRPr="00310A37">
        <w:rPr>
          <w:rFonts w:asciiTheme="majorBidi" w:hAnsiTheme="majorBidi" w:cstheme="majorBidi"/>
          <w:sz w:val="24"/>
          <w:szCs w:val="24"/>
          <w:lang w:val="en-US"/>
        </w:rPr>
        <w:t>(II) ion is located on an inversion center. The complex comprises two deprotonated</w:t>
      </w:r>
      <w:r w:rsidR="00657EA2">
        <w:rPr>
          <w:rFonts w:asciiTheme="majorBidi" w:hAnsiTheme="majorBidi" w:cstheme="majorBidi"/>
          <w:sz w:val="24"/>
          <w:szCs w:val="24"/>
          <w:lang w:val="en-US"/>
        </w:rPr>
        <w:t xml:space="preserve"> </w:t>
      </w:r>
      <w:r w:rsidRPr="00310A37">
        <w:rPr>
          <w:rFonts w:asciiTheme="majorBidi" w:hAnsiTheme="majorBidi" w:cstheme="majorBidi"/>
          <w:sz w:val="24"/>
          <w:szCs w:val="24"/>
          <w:lang w:val="en-US"/>
        </w:rPr>
        <w:t>N-</w:t>
      </w:r>
      <w:proofErr w:type="spellStart"/>
      <w:r w:rsidRPr="00310A37">
        <w:rPr>
          <w:rFonts w:asciiTheme="majorBidi" w:hAnsiTheme="majorBidi" w:cstheme="majorBidi"/>
          <w:sz w:val="24"/>
          <w:szCs w:val="24"/>
          <w:lang w:val="en-US"/>
        </w:rPr>
        <w:t>phthaloylglycine</w:t>
      </w:r>
      <w:proofErr w:type="spellEnd"/>
      <w:r w:rsidRPr="00310A37">
        <w:rPr>
          <w:rFonts w:asciiTheme="majorBidi" w:hAnsiTheme="majorBidi" w:cstheme="majorBidi"/>
          <w:sz w:val="24"/>
          <w:szCs w:val="24"/>
          <w:lang w:val="en-US"/>
        </w:rPr>
        <w:t xml:space="preserve"> ligands in a </w:t>
      </w:r>
      <w:proofErr w:type="spellStart"/>
      <w:r w:rsidRPr="00310A37">
        <w:rPr>
          <w:rFonts w:asciiTheme="majorBidi" w:hAnsiTheme="majorBidi" w:cstheme="majorBidi"/>
          <w:sz w:val="24"/>
          <w:szCs w:val="24"/>
          <w:lang w:val="en-US"/>
        </w:rPr>
        <w:t>monodentate</w:t>
      </w:r>
      <w:proofErr w:type="spellEnd"/>
      <w:r w:rsidRPr="00310A37">
        <w:rPr>
          <w:rFonts w:asciiTheme="majorBidi" w:hAnsiTheme="majorBidi" w:cstheme="majorBidi"/>
          <w:sz w:val="24"/>
          <w:szCs w:val="24"/>
          <w:lang w:val="en-US"/>
        </w:rPr>
        <w:t xml:space="preserve"> coordination mode and two 4-(</w:t>
      </w:r>
      <w:proofErr w:type="spellStart"/>
      <w:r w:rsidRPr="00310A37">
        <w:rPr>
          <w:rFonts w:asciiTheme="majorBidi" w:hAnsiTheme="majorBidi" w:cstheme="majorBidi"/>
          <w:sz w:val="24"/>
          <w:szCs w:val="24"/>
          <w:lang w:val="en-US"/>
        </w:rPr>
        <w:t>dimethylamino</w:t>
      </w:r>
      <w:proofErr w:type="spellEnd"/>
      <w:r w:rsidRPr="00310A37">
        <w:rPr>
          <w:rFonts w:asciiTheme="majorBidi" w:hAnsiTheme="majorBidi" w:cstheme="majorBidi"/>
          <w:sz w:val="24"/>
          <w:szCs w:val="24"/>
          <w:lang w:val="en-US"/>
        </w:rPr>
        <w:t>) pyridine ligands. The slightly distorted coordination sphere CoN</w:t>
      </w:r>
      <w:r w:rsidRPr="00DD0C10">
        <w:rPr>
          <w:rFonts w:asciiTheme="majorBidi" w:hAnsiTheme="majorBidi" w:cstheme="majorBidi"/>
          <w:sz w:val="24"/>
          <w:szCs w:val="24"/>
          <w:vertAlign w:val="subscript"/>
          <w:lang w:val="en-US"/>
        </w:rPr>
        <w:t>2</w:t>
      </w:r>
      <w:r w:rsidRPr="00310A37">
        <w:rPr>
          <w:rFonts w:asciiTheme="majorBidi" w:hAnsiTheme="majorBidi" w:cstheme="majorBidi"/>
          <w:sz w:val="24"/>
          <w:szCs w:val="24"/>
          <w:lang w:val="en-US"/>
        </w:rPr>
        <w:t>O</w:t>
      </w:r>
      <w:r w:rsidRPr="00DD0C10">
        <w:rPr>
          <w:rFonts w:asciiTheme="majorBidi" w:hAnsiTheme="majorBidi" w:cstheme="majorBidi"/>
          <w:sz w:val="24"/>
          <w:szCs w:val="24"/>
          <w:vertAlign w:val="subscript"/>
          <w:lang w:val="en-US"/>
        </w:rPr>
        <w:t>4</w:t>
      </w:r>
      <w:r w:rsidRPr="00310A37">
        <w:rPr>
          <w:rFonts w:asciiTheme="majorBidi" w:hAnsiTheme="majorBidi" w:cstheme="majorBidi"/>
          <w:sz w:val="24"/>
          <w:szCs w:val="24"/>
          <w:lang w:val="en-US"/>
        </w:rPr>
        <w:t>coordination sphere is completed by two aqua ligands.</w:t>
      </w:r>
      <w:r>
        <w:rPr>
          <w:rFonts w:asciiTheme="majorBidi" w:hAnsiTheme="majorBidi" w:cstheme="majorBidi"/>
          <w:sz w:val="24"/>
          <w:szCs w:val="24"/>
          <w:lang w:val="en-US"/>
        </w:rPr>
        <w:t xml:space="preserve"> </w:t>
      </w:r>
      <w:r w:rsidR="00657EA2" w:rsidRPr="00657EA2">
        <w:rPr>
          <w:rFonts w:asciiTheme="majorBidi" w:hAnsiTheme="majorBidi" w:cstheme="majorBidi"/>
          <w:sz w:val="24"/>
          <w:szCs w:val="24"/>
          <w:lang w:val="en-US"/>
        </w:rPr>
        <w:t>Theoretical stud</w:t>
      </w:r>
      <w:r w:rsidR="00657EA2">
        <w:rPr>
          <w:rFonts w:asciiTheme="majorBidi" w:hAnsiTheme="majorBidi" w:cstheme="majorBidi"/>
          <w:sz w:val="24"/>
          <w:szCs w:val="24"/>
          <w:lang w:val="en-US"/>
        </w:rPr>
        <w:t>y</w:t>
      </w:r>
      <w:r w:rsidR="00657EA2" w:rsidRPr="00657EA2">
        <w:rPr>
          <w:rFonts w:asciiTheme="majorBidi" w:hAnsiTheme="majorBidi" w:cstheme="majorBidi"/>
          <w:sz w:val="24"/>
          <w:szCs w:val="24"/>
          <w:lang w:val="en-US"/>
        </w:rPr>
        <w:t xml:space="preserve"> </w:t>
      </w:r>
      <w:r w:rsidR="00657EA2">
        <w:rPr>
          <w:rFonts w:asciiTheme="majorBidi" w:hAnsiTheme="majorBidi" w:cstheme="majorBidi"/>
          <w:sz w:val="24"/>
          <w:szCs w:val="24"/>
          <w:lang w:val="en-US"/>
        </w:rPr>
        <w:t xml:space="preserve">is </w:t>
      </w:r>
      <w:r w:rsidR="00657EA2" w:rsidRPr="00657EA2">
        <w:rPr>
          <w:rFonts w:asciiTheme="majorBidi" w:hAnsiTheme="majorBidi" w:cstheme="majorBidi"/>
          <w:sz w:val="24"/>
          <w:szCs w:val="24"/>
          <w:lang w:val="en-US"/>
        </w:rPr>
        <w:t>essential to understand the physicochemical properties and the different factors, electronic, steric or energetic which can account in favor of the complex stability.</w:t>
      </w:r>
      <w:r w:rsidRPr="00310A37">
        <w:rPr>
          <w:rFonts w:asciiTheme="majorBidi" w:hAnsiTheme="majorBidi" w:cstheme="majorBidi"/>
          <w:sz w:val="24"/>
          <w:szCs w:val="24"/>
          <w:lang w:val="en-US"/>
        </w:rPr>
        <w:t xml:space="preserve"> In this context, </w:t>
      </w:r>
    </w:p>
    <w:p w:rsidR="004F4E6B" w:rsidRPr="004F4E6B" w:rsidRDefault="004F4E6B" w:rsidP="00657EA2">
      <w:pPr>
        <w:spacing w:after="0" w:line="240" w:lineRule="auto"/>
        <w:jc w:val="both"/>
        <w:rPr>
          <w:rFonts w:asciiTheme="majorBidi" w:hAnsiTheme="majorBidi" w:cstheme="majorBidi"/>
          <w:sz w:val="24"/>
          <w:szCs w:val="24"/>
          <w:lang w:val="en-US"/>
        </w:rPr>
      </w:pPr>
      <w:r w:rsidRPr="004F4E6B">
        <w:rPr>
          <w:rFonts w:asciiTheme="majorBidi" w:hAnsiTheme="majorBidi" w:cstheme="majorBidi"/>
          <w:sz w:val="24"/>
          <w:szCs w:val="24"/>
          <w:lang w:val="en-US"/>
        </w:rPr>
        <w:t xml:space="preserve">The title molecule was initially prepared and minimized using Avogadro program by applying MMFF94 force field method.  Theoretical calculations of the studied compounds were carried out using DFT as implemented in the electronic structure calculation package ORCA. A geometry optimization was  carried  out  in  the  aqueous  (Methanol and ethanol  solutions)  and  non-aqueous  (vacuum)  environments, </w:t>
      </w:r>
      <w:r>
        <w:rPr>
          <w:rFonts w:asciiTheme="majorBidi" w:hAnsiTheme="majorBidi" w:cstheme="majorBidi"/>
          <w:sz w:val="24"/>
          <w:szCs w:val="24"/>
          <w:lang w:val="en-US"/>
        </w:rPr>
        <w:t>using  the  B3LYP</w:t>
      </w:r>
      <w:r w:rsidRPr="004F4E6B">
        <w:rPr>
          <w:rFonts w:asciiTheme="majorBidi" w:hAnsiTheme="majorBidi" w:cstheme="majorBidi"/>
          <w:sz w:val="24"/>
          <w:szCs w:val="24"/>
          <w:lang w:val="en-US"/>
        </w:rPr>
        <w:t xml:space="preserve"> functional  and  employing  the def2-SVP basis  set  and the def2/J auxiliary basis.  The solvent effects were computed by the CPCM-SMD </w:t>
      </w:r>
      <w:r>
        <w:rPr>
          <w:rFonts w:asciiTheme="majorBidi" w:hAnsiTheme="majorBidi" w:cstheme="majorBidi"/>
          <w:sz w:val="24"/>
          <w:szCs w:val="24"/>
          <w:lang w:val="en-US"/>
        </w:rPr>
        <w:t xml:space="preserve">model. </w:t>
      </w:r>
      <w:r w:rsidRPr="004F4E6B">
        <w:rPr>
          <w:rFonts w:asciiTheme="majorBidi" w:hAnsiTheme="majorBidi" w:cstheme="majorBidi"/>
          <w:sz w:val="24"/>
          <w:szCs w:val="24"/>
          <w:lang w:val="en-US"/>
        </w:rPr>
        <w:t>The atomic orbital integrals were calculated by the LIBINT library and the natural population implemented  in  ORCA  (version.  4.0.0.2 ),  using  a  static  dielectric constant  of  methanol and ethanol ε=32.63, ε=24.3 and  the  refractive  index  n=1.329, n=1.361 (optical  dielectric  constant) respectively.</w:t>
      </w:r>
      <w:r>
        <w:rPr>
          <w:rFonts w:asciiTheme="majorBidi" w:hAnsiTheme="majorBidi" w:cstheme="majorBidi"/>
          <w:sz w:val="24"/>
          <w:szCs w:val="24"/>
          <w:lang w:val="en-US"/>
        </w:rPr>
        <w:t xml:space="preserve"> </w:t>
      </w:r>
      <w:r w:rsidRPr="004F4E6B">
        <w:rPr>
          <w:rFonts w:asciiTheme="majorBidi" w:hAnsiTheme="majorBidi" w:cstheme="majorBidi"/>
          <w:sz w:val="24"/>
          <w:szCs w:val="24"/>
          <w:lang w:val="en-US"/>
        </w:rPr>
        <w:t xml:space="preserve">The results of the calculations were visualized using Avogadro program.  Different global reactivity parameters have been calculated such as, the ionization potential (I), electron affinity (A), electronegativity (χ), chemical potential (π), global hardness (η), global softness (σ), global </w:t>
      </w:r>
      <w:proofErr w:type="spellStart"/>
      <w:r w:rsidRPr="004F4E6B">
        <w:rPr>
          <w:rFonts w:asciiTheme="majorBidi" w:hAnsiTheme="majorBidi" w:cstheme="majorBidi"/>
          <w:sz w:val="24"/>
          <w:szCs w:val="24"/>
          <w:lang w:val="en-US"/>
        </w:rPr>
        <w:t>electrophilicity</w:t>
      </w:r>
      <w:proofErr w:type="spellEnd"/>
      <w:r w:rsidRPr="004F4E6B">
        <w:rPr>
          <w:rFonts w:asciiTheme="majorBidi" w:hAnsiTheme="majorBidi" w:cstheme="majorBidi"/>
          <w:sz w:val="24"/>
          <w:szCs w:val="24"/>
          <w:lang w:val="en-US"/>
        </w:rPr>
        <w:t xml:space="preserve"> (ω) associated to the synthesized molecule.</w:t>
      </w:r>
      <w:r>
        <w:rPr>
          <w:rFonts w:asciiTheme="majorBidi" w:hAnsiTheme="majorBidi" w:cstheme="majorBidi"/>
          <w:sz w:val="24"/>
          <w:szCs w:val="24"/>
          <w:lang w:val="en-US"/>
        </w:rPr>
        <w:t xml:space="preserve"> </w:t>
      </w:r>
      <w:r w:rsidRPr="004F4E6B">
        <w:rPr>
          <w:rFonts w:asciiTheme="majorBidi" w:hAnsiTheme="majorBidi" w:cstheme="majorBidi"/>
          <w:sz w:val="24"/>
          <w:szCs w:val="24"/>
          <w:lang w:val="en-US"/>
        </w:rPr>
        <w:t xml:space="preserve">The HOMO and LUMO energies are </w:t>
      </w:r>
      <w:r w:rsidRPr="004F4E6B">
        <w:rPr>
          <w:rFonts w:asciiTheme="majorBidi" w:hAnsiTheme="majorBidi" w:cstheme="majorBidi"/>
          <w:bCs/>
          <w:sz w:val="24"/>
          <w:szCs w:val="24"/>
          <w:lang w:val="en-US"/>
        </w:rPr>
        <w:t xml:space="preserve">-5,604 </w:t>
      </w:r>
      <w:proofErr w:type="spellStart"/>
      <w:r w:rsidRPr="004F4E6B">
        <w:rPr>
          <w:rFonts w:asciiTheme="majorBidi" w:hAnsiTheme="majorBidi" w:cstheme="majorBidi"/>
          <w:bCs/>
          <w:sz w:val="24"/>
          <w:szCs w:val="24"/>
          <w:lang w:val="en-US"/>
        </w:rPr>
        <w:t>eV</w:t>
      </w:r>
      <w:proofErr w:type="spellEnd"/>
      <w:r w:rsidRPr="004F4E6B">
        <w:rPr>
          <w:rFonts w:asciiTheme="majorBidi" w:hAnsiTheme="majorBidi" w:cstheme="majorBidi"/>
          <w:bCs/>
          <w:sz w:val="24"/>
          <w:szCs w:val="24"/>
          <w:lang w:val="en-US"/>
        </w:rPr>
        <w:t xml:space="preserve"> and -2,303 </w:t>
      </w:r>
      <w:proofErr w:type="spellStart"/>
      <w:r w:rsidRPr="004F4E6B">
        <w:rPr>
          <w:rFonts w:asciiTheme="majorBidi" w:hAnsiTheme="majorBidi" w:cstheme="majorBidi"/>
          <w:bCs/>
          <w:sz w:val="24"/>
          <w:szCs w:val="24"/>
          <w:lang w:val="en-US"/>
        </w:rPr>
        <w:t>eV</w:t>
      </w:r>
      <w:proofErr w:type="spellEnd"/>
      <w:r w:rsidRPr="004F4E6B">
        <w:rPr>
          <w:rFonts w:asciiTheme="majorBidi" w:hAnsiTheme="majorBidi" w:cstheme="majorBidi"/>
          <w:sz w:val="24"/>
          <w:szCs w:val="24"/>
          <w:lang w:val="en-US"/>
        </w:rPr>
        <w:t xml:space="preserve"> in gas phase hence the gap is -3.301, this large energy gap indicates that the title structure is stable.</w:t>
      </w:r>
    </w:p>
    <w:p w:rsidR="004F4E6B" w:rsidRDefault="004F4E6B" w:rsidP="004F4E6B">
      <w:pPr>
        <w:spacing w:after="0" w:line="240" w:lineRule="auto"/>
        <w:jc w:val="both"/>
        <w:rPr>
          <w:rFonts w:asciiTheme="majorBidi" w:hAnsiTheme="majorBidi" w:cstheme="majorBidi"/>
          <w:sz w:val="24"/>
          <w:szCs w:val="24"/>
          <w:lang w:val="en-US"/>
        </w:rPr>
      </w:pPr>
    </w:p>
    <w:p w:rsidR="00657EA2" w:rsidRPr="00657EA2" w:rsidRDefault="00657EA2" w:rsidP="00657EA2">
      <w:pPr>
        <w:spacing w:after="0" w:line="240" w:lineRule="auto"/>
        <w:jc w:val="both"/>
        <w:rPr>
          <w:rFonts w:ascii="Times New Roman" w:eastAsia="Times New Roman" w:hAnsi="Times New Roman" w:cs="Times New Roman"/>
          <w:b/>
          <w:sz w:val="24"/>
          <w:szCs w:val="24"/>
          <w:lang w:val="it-IT" w:eastAsia="it-IT"/>
        </w:rPr>
      </w:pPr>
      <w:r w:rsidRPr="00657EA2">
        <w:rPr>
          <w:rFonts w:ascii="Times New Roman" w:eastAsia="Times New Roman" w:hAnsi="Times New Roman" w:cs="Times New Roman"/>
          <w:b/>
          <w:sz w:val="24"/>
          <w:szCs w:val="24"/>
          <w:lang w:val="it-IT" w:eastAsia="it-IT"/>
        </w:rPr>
        <w:t>Biography</w:t>
      </w:r>
    </w:p>
    <w:p w:rsidR="00657EA2" w:rsidRPr="00657EA2" w:rsidRDefault="00657EA2" w:rsidP="00657EA2">
      <w:pPr>
        <w:spacing w:after="0" w:line="240" w:lineRule="auto"/>
        <w:jc w:val="both"/>
        <w:rPr>
          <w:rFonts w:ascii="Times New Roman" w:eastAsia="Times New Roman" w:hAnsi="Times New Roman" w:cs="Times New Roman"/>
          <w:b/>
          <w:sz w:val="24"/>
          <w:szCs w:val="24"/>
          <w:lang w:val="it-IT" w:eastAsia="it-IT"/>
        </w:rPr>
      </w:pPr>
    </w:p>
    <w:p w:rsidR="00657EA2" w:rsidRPr="00657EA2" w:rsidRDefault="00657EA2" w:rsidP="00DF1854">
      <w:pPr>
        <w:spacing w:after="0" w:line="240" w:lineRule="auto"/>
        <w:jc w:val="both"/>
        <w:rPr>
          <w:rFonts w:ascii="Times New Roman" w:eastAsia="MS PGothic" w:hAnsi="Times New Roman" w:cs="Times New Roman"/>
          <w:b/>
          <w:color w:val="000000"/>
          <w:sz w:val="24"/>
          <w:szCs w:val="32"/>
          <w:lang w:val="it-IT" w:eastAsia="it-IT"/>
        </w:rPr>
      </w:pPr>
      <w:r w:rsidRPr="00657EA2">
        <w:rPr>
          <w:rFonts w:ascii="Times New Roman" w:eastAsia="Times New Roman" w:hAnsi="Times New Roman" w:cs="Times New Roman"/>
          <w:sz w:val="24"/>
          <w:szCs w:val="24"/>
          <w:lang w:val="it-IT" w:eastAsia="it-IT"/>
        </w:rPr>
        <w:t xml:space="preserve">Hénia Bouzidi Mousser has completed his PhD at the age of 30 years from </w:t>
      </w:r>
      <w:r w:rsidRPr="00657EA2">
        <w:rPr>
          <w:rFonts w:ascii="Times New Roman" w:eastAsia="MS PGothic" w:hAnsi="Arial" w:cs="Times New Roman"/>
          <w:color w:val="000000"/>
          <w:sz w:val="24"/>
          <w:szCs w:val="24"/>
          <w:lang w:val="it-IT" w:eastAsia="it-IT"/>
        </w:rPr>
        <w:t>Ecole Nationale Sup</w:t>
      </w:r>
      <w:r w:rsidRPr="00657EA2">
        <w:rPr>
          <w:rFonts w:ascii="Times New Roman" w:eastAsia="MS PGothic" w:hAnsi="Times New Roman" w:cs="Times New Roman"/>
          <w:color w:val="000000"/>
          <w:sz w:val="24"/>
          <w:szCs w:val="24"/>
          <w:lang w:val="it-IT" w:eastAsia="it-IT"/>
        </w:rPr>
        <w:t>é</w:t>
      </w:r>
      <w:r w:rsidRPr="00657EA2">
        <w:rPr>
          <w:rFonts w:ascii="Times New Roman" w:eastAsia="MS PGothic" w:hAnsi="Arial" w:cs="Times New Roman"/>
          <w:color w:val="000000"/>
          <w:sz w:val="24"/>
          <w:szCs w:val="24"/>
          <w:lang w:val="it-IT" w:eastAsia="it-IT"/>
        </w:rPr>
        <w:t xml:space="preserve">rieure de Chimie de Rennes 1, France </w:t>
      </w:r>
      <w:r w:rsidRPr="00657EA2">
        <w:rPr>
          <w:rFonts w:ascii="Times New Roman" w:eastAsia="Times New Roman" w:hAnsi="Times New Roman" w:cs="Times New Roman"/>
          <w:sz w:val="24"/>
          <w:szCs w:val="24"/>
          <w:lang w:val="it-IT" w:eastAsia="it-IT"/>
        </w:rPr>
        <w:t xml:space="preserve">and postdoctoral studies from Constantine 1 </w:t>
      </w:r>
      <w:r w:rsidRPr="00657EA2">
        <w:rPr>
          <w:rFonts w:ascii="Times New Roman" w:eastAsia="Times New Roman" w:hAnsi="Times New Roman" w:cs="Times New Roman"/>
          <w:sz w:val="24"/>
          <w:szCs w:val="24"/>
          <w:lang w:val="it-IT" w:eastAsia="it-IT"/>
        </w:rPr>
        <w:lastRenderedPageBreak/>
        <w:t>University, Algeria. He is the head of Physic Chemistry department in “</w:t>
      </w:r>
      <w:r w:rsidR="00DF1854">
        <w:rPr>
          <w:rFonts w:ascii="Times New Roman" w:eastAsia="Times New Roman" w:hAnsi="Times New Roman" w:cs="Times New Roman"/>
          <w:sz w:val="24"/>
          <w:szCs w:val="24"/>
          <w:lang w:val="it-IT" w:eastAsia="it-IT"/>
        </w:rPr>
        <w:t xml:space="preserve">Ecole Normale Supérieure Assia Djebar, Pôle Universitaire Ali Mendjeli, </w:t>
      </w:r>
      <w:r w:rsidRPr="00657EA2">
        <w:rPr>
          <w:rFonts w:ascii="Times New Roman" w:eastAsia="Times New Roman" w:hAnsi="Times New Roman" w:cs="Times New Roman"/>
          <w:sz w:val="24"/>
          <w:szCs w:val="24"/>
          <w:lang w:val="it-IT" w:eastAsia="it-IT"/>
        </w:rPr>
        <w:t>Constantine”, Algeria. He has published more than 10 papers in reputed journals and has been serving as an editorial board member of repute.</w:t>
      </w:r>
      <w:r w:rsidRPr="00657EA2">
        <w:rPr>
          <w:rFonts w:ascii="Times New Roman" w:eastAsia="Times New Roman" w:hAnsi="Times New Roman" w:cs="Times New Roman"/>
          <w:b/>
          <w:sz w:val="24"/>
          <w:szCs w:val="24"/>
          <w:lang w:val="it-IT" w:eastAsia="it-IT"/>
        </w:rPr>
        <w:tab/>
      </w:r>
      <w:r w:rsidRPr="00657EA2">
        <w:rPr>
          <w:rFonts w:ascii="Times New Roman" w:eastAsia="Times New Roman" w:hAnsi="Times New Roman" w:cs="Times New Roman"/>
          <w:b/>
          <w:sz w:val="24"/>
          <w:szCs w:val="24"/>
          <w:lang w:val="it-IT" w:eastAsia="it-IT"/>
        </w:rPr>
        <w:br/>
      </w:r>
    </w:p>
    <w:p w:rsidR="00657EA2" w:rsidRPr="00657EA2" w:rsidRDefault="00657EA2" w:rsidP="00657EA2">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657EA2">
        <w:rPr>
          <w:rFonts w:ascii="Times New Roman" w:eastAsia="Times New Roman" w:hAnsi="Times New Roman" w:cs="Times New Roman"/>
          <w:b/>
          <w:sz w:val="24"/>
          <w:szCs w:val="24"/>
          <w:lang w:val="en-NZ" w:eastAsia="it-IT"/>
        </w:rPr>
        <w:t xml:space="preserve">Presenting author details </w:t>
      </w:r>
      <w:r w:rsidRPr="00657EA2">
        <w:rPr>
          <w:rFonts w:ascii="Times New Roman" w:eastAsia="Times New Roman" w:hAnsi="Times New Roman" w:cs="Times New Roman"/>
          <w:b/>
          <w:sz w:val="24"/>
          <w:szCs w:val="24"/>
          <w:lang w:val="en-NZ" w:eastAsia="it-IT"/>
        </w:rPr>
        <w:br/>
      </w:r>
      <w:r w:rsidRPr="00657EA2">
        <w:rPr>
          <w:rFonts w:ascii="Times New Roman" w:eastAsia="Times New Roman" w:hAnsi="Times New Roman" w:cs="Times New Roman"/>
          <w:sz w:val="24"/>
          <w:szCs w:val="24"/>
          <w:lang w:val="en-NZ" w:eastAsia="it-IT"/>
        </w:rPr>
        <w:t xml:space="preserve">Full name: </w:t>
      </w:r>
      <w:r w:rsidRPr="00657EA2">
        <w:rPr>
          <w:rFonts w:ascii="Times New Roman" w:eastAsia="Times New Roman" w:hAnsi="Times New Roman" w:cs="Times New Roman"/>
          <w:sz w:val="24"/>
          <w:szCs w:val="24"/>
          <w:lang w:val="it-IT" w:eastAsia="it-IT"/>
        </w:rPr>
        <w:t>Hénia Bouzidi Mousser</w:t>
      </w:r>
      <w:r w:rsidRPr="00657EA2">
        <w:rPr>
          <w:rFonts w:ascii="Times New Roman" w:eastAsia="Times New Roman" w:hAnsi="Times New Roman" w:cs="Times New Roman"/>
          <w:sz w:val="24"/>
          <w:szCs w:val="24"/>
          <w:lang w:val="en-NZ" w:eastAsia="it-IT"/>
        </w:rPr>
        <w:br/>
        <w:t>Contact number: 00213 6 61 57 58 52</w:t>
      </w:r>
      <w:r w:rsidRPr="00657EA2">
        <w:rPr>
          <w:rFonts w:ascii="Times New Roman" w:eastAsia="Times New Roman" w:hAnsi="Times New Roman" w:cs="Times New Roman"/>
          <w:sz w:val="24"/>
          <w:szCs w:val="24"/>
          <w:lang w:val="en-NZ" w:eastAsia="it-IT"/>
        </w:rPr>
        <w:br/>
        <w:t>Twitter account</w:t>
      </w:r>
      <w:proofErr w:type="gramStart"/>
      <w:r w:rsidRPr="00657EA2">
        <w:rPr>
          <w:rFonts w:ascii="Times New Roman" w:eastAsia="Times New Roman" w:hAnsi="Times New Roman" w:cs="Times New Roman"/>
          <w:sz w:val="24"/>
          <w:szCs w:val="24"/>
          <w:lang w:val="en-NZ" w:eastAsia="it-IT"/>
        </w:rPr>
        <w:t>:</w:t>
      </w:r>
      <w:proofErr w:type="gramEnd"/>
      <w:r w:rsidRPr="00657EA2">
        <w:rPr>
          <w:rFonts w:ascii="Times New Roman" w:eastAsia="Times New Roman" w:hAnsi="Times New Roman" w:cs="Times New Roman"/>
          <w:sz w:val="24"/>
          <w:szCs w:val="24"/>
          <w:lang w:val="en-NZ" w:eastAsia="it-IT"/>
        </w:rPr>
        <w:br/>
        <w:t>Linked In account:</w:t>
      </w:r>
    </w:p>
    <w:p w:rsidR="00657EA2" w:rsidRPr="00657EA2" w:rsidRDefault="00657EA2" w:rsidP="00657EA2">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657EA2">
        <w:rPr>
          <w:rFonts w:ascii="Times New Roman" w:eastAsia="Times New Roman" w:hAnsi="Times New Roman" w:cs="Times New Roman"/>
          <w:sz w:val="24"/>
          <w:szCs w:val="24"/>
          <w:lang w:val="en-NZ" w:eastAsia="it-IT"/>
        </w:rPr>
        <w:t>Session name/ number</w:t>
      </w:r>
      <w:proofErr w:type="gramStart"/>
      <w:r w:rsidRPr="00657EA2">
        <w:rPr>
          <w:rFonts w:ascii="Times New Roman" w:eastAsia="Times New Roman" w:hAnsi="Times New Roman" w:cs="Times New Roman"/>
          <w:sz w:val="24"/>
          <w:szCs w:val="24"/>
          <w:lang w:val="en-NZ" w:eastAsia="it-IT"/>
        </w:rPr>
        <w:t>:</w:t>
      </w:r>
      <w:proofErr w:type="gramEnd"/>
      <w:r w:rsidRPr="00657EA2">
        <w:rPr>
          <w:rFonts w:ascii="Times New Roman" w:eastAsia="Times New Roman" w:hAnsi="Times New Roman" w:cs="Times New Roman"/>
          <w:sz w:val="24"/>
          <w:szCs w:val="24"/>
          <w:lang w:val="en-NZ" w:eastAsia="it-IT"/>
        </w:rPr>
        <w:br/>
        <w:t>Category: Poster presentation</w:t>
      </w:r>
    </w:p>
    <w:p w:rsidR="00657EA2" w:rsidRPr="00657EA2" w:rsidRDefault="00657EA2" w:rsidP="004F4E6B">
      <w:pPr>
        <w:spacing w:after="0" w:line="240" w:lineRule="auto"/>
        <w:jc w:val="both"/>
        <w:rPr>
          <w:rFonts w:asciiTheme="majorBidi" w:hAnsiTheme="majorBidi" w:cstheme="majorBidi"/>
          <w:sz w:val="24"/>
          <w:szCs w:val="24"/>
          <w:lang w:val="en-NZ"/>
        </w:rPr>
      </w:pPr>
    </w:p>
    <w:sectPr w:rsidR="00657EA2" w:rsidRPr="00657EA2" w:rsidSect="00C32B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4E3"/>
    <w:rsid w:val="000364E3"/>
    <w:rsid w:val="00090B2F"/>
    <w:rsid w:val="001F52AF"/>
    <w:rsid w:val="00257C19"/>
    <w:rsid w:val="00310A37"/>
    <w:rsid w:val="00345A9A"/>
    <w:rsid w:val="0039211C"/>
    <w:rsid w:val="004F4E6B"/>
    <w:rsid w:val="00521DD2"/>
    <w:rsid w:val="005312B1"/>
    <w:rsid w:val="005F5C32"/>
    <w:rsid w:val="00657EA2"/>
    <w:rsid w:val="00726D91"/>
    <w:rsid w:val="007B1A6F"/>
    <w:rsid w:val="007D7B4B"/>
    <w:rsid w:val="00847E04"/>
    <w:rsid w:val="009B36F9"/>
    <w:rsid w:val="009C088B"/>
    <w:rsid w:val="00AF5A8C"/>
    <w:rsid w:val="00B072B5"/>
    <w:rsid w:val="00BB5F33"/>
    <w:rsid w:val="00BD0829"/>
    <w:rsid w:val="00C1546A"/>
    <w:rsid w:val="00C32B3D"/>
    <w:rsid w:val="00C53501"/>
    <w:rsid w:val="00CC582C"/>
    <w:rsid w:val="00CE1A58"/>
    <w:rsid w:val="00D22EB8"/>
    <w:rsid w:val="00DD0C10"/>
    <w:rsid w:val="00DF1854"/>
    <w:rsid w:val="00EC2C41"/>
    <w:rsid w:val="00F330B9"/>
    <w:rsid w:val="00F554D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7B1A6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B1A6F"/>
    <w:rPr>
      <w:rFonts w:ascii="Times New Roman" w:eastAsia="Times New Roman" w:hAnsi="Times New Roman" w:cs="Times New Roman"/>
      <w:b/>
      <w:bCs/>
      <w:kern w:val="36"/>
      <w:sz w:val="48"/>
      <w:szCs w:val="48"/>
      <w:lang w:eastAsia="fr-FR"/>
    </w:rPr>
  </w:style>
  <w:style w:type="paragraph" w:styleId="Textedebulles">
    <w:name w:val="Balloon Text"/>
    <w:basedOn w:val="Normal"/>
    <w:link w:val="TextedebullesCar"/>
    <w:uiPriority w:val="99"/>
    <w:semiHidden/>
    <w:unhideWhenUsed/>
    <w:rsid w:val="00CE1A5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E1A58"/>
    <w:rPr>
      <w:rFonts w:ascii="Tahoma" w:hAnsi="Tahoma" w:cs="Tahoma"/>
      <w:sz w:val="16"/>
      <w:szCs w:val="16"/>
    </w:rPr>
  </w:style>
  <w:style w:type="paragraph" w:styleId="NormalWeb">
    <w:name w:val="Normal (Web)"/>
    <w:basedOn w:val="Normal"/>
    <w:uiPriority w:val="99"/>
    <w:rsid w:val="00847E04"/>
    <w:pPr>
      <w:spacing w:after="0" w:line="240" w:lineRule="auto"/>
    </w:pPr>
    <w:rPr>
      <w:rFonts w:ascii="Times New Roman" w:eastAsia="Times New Roman" w:hAnsi="Times New Roman" w:cs="Times New Roman"/>
      <w:sz w:val="24"/>
      <w:szCs w:val="24"/>
      <w:lang w:val="it-IT" w:eastAsia="it-IT"/>
    </w:rPr>
  </w:style>
  <w:style w:type="character" w:styleId="Lienhypertexte">
    <w:name w:val="Hyperlink"/>
    <w:basedOn w:val="Policepardfaut"/>
    <w:uiPriority w:val="99"/>
    <w:unhideWhenUsed/>
    <w:rsid w:val="004F4E6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7B1A6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B1A6F"/>
    <w:rPr>
      <w:rFonts w:ascii="Times New Roman" w:eastAsia="Times New Roman" w:hAnsi="Times New Roman" w:cs="Times New Roman"/>
      <w:b/>
      <w:bCs/>
      <w:kern w:val="36"/>
      <w:sz w:val="48"/>
      <w:szCs w:val="48"/>
      <w:lang w:eastAsia="fr-FR"/>
    </w:rPr>
  </w:style>
  <w:style w:type="paragraph" w:styleId="Textedebulles">
    <w:name w:val="Balloon Text"/>
    <w:basedOn w:val="Normal"/>
    <w:link w:val="TextedebullesCar"/>
    <w:uiPriority w:val="99"/>
    <w:semiHidden/>
    <w:unhideWhenUsed/>
    <w:rsid w:val="00CE1A5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E1A58"/>
    <w:rPr>
      <w:rFonts w:ascii="Tahoma" w:hAnsi="Tahoma" w:cs="Tahoma"/>
      <w:sz w:val="16"/>
      <w:szCs w:val="16"/>
    </w:rPr>
  </w:style>
  <w:style w:type="paragraph" w:styleId="NormalWeb">
    <w:name w:val="Normal (Web)"/>
    <w:basedOn w:val="Normal"/>
    <w:uiPriority w:val="99"/>
    <w:rsid w:val="00847E04"/>
    <w:pPr>
      <w:spacing w:after="0" w:line="240" w:lineRule="auto"/>
    </w:pPr>
    <w:rPr>
      <w:rFonts w:ascii="Times New Roman" w:eastAsia="Times New Roman" w:hAnsi="Times New Roman" w:cs="Times New Roman"/>
      <w:sz w:val="24"/>
      <w:szCs w:val="24"/>
      <w:lang w:val="it-IT" w:eastAsia="it-IT"/>
    </w:rPr>
  </w:style>
  <w:style w:type="character" w:styleId="Lienhypertexte">
    <w:name w:val="Hyperlink"/>
    <w:basedOn w:val="Policepardfaut"/>
    <w:uiPriority w:val="99"/>
    <w:unhideWhenUsed/>
    <w:rsid w:val="004F4E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277373">
      <w:bodyDiv w:val="1"/>
      <w:marLeft w:val="0"/>
      <w:marRight w:val="0"/>
      <w:marTop w:val="0"/>
      <w:marBottom w:val="0"/>
      <w:divBdr>
        <w:top w:val="none" w:sz="0" w:space="0" w:color="auto"/>
        <w:left w:val="none" w:sz="0" w:space="0" w:color="auto"/>
        <w:bottom w:val="none" w:sz="0" w:space="0" w:color="auto"/>
        <w:right w:val="none" w:sz="0" w:space="0" w:color="auto"/>
      </w:divBdr>
    </w:div>
    <w:div w:id="617763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2882</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kelyweb18</dc:creator>
  <cp:lastModifiedBy>chimie phisic</cp:lastModifiedBy>
  <cp:revision>2</cp:revision>
  <dcterms:created xsi:type="dcterms:W3CDTF">2019-04-30T12:59:00Z</dcterms:created>
  <dcterms:modified xsi:type="dcterms:W3CDTF">2019-04-30T12:59:00Z</dcterms:modified>
</cp:coreProperties>
</file>