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60CC" w14:textId="2B2E8F66" w:rsidR="00AE3E37" w:rsidRDefault="00CA0449" w:rsidP="00CA0449">
      <w:pPr>
        <w:pStyle w:val="1"/>
        <w:spacing w:before="170"/>
        <w:ind w:left="0"/>
        <w:jc w:val="both"/>
      </w:pPr>
      <w:r w:rsidRPr="00CA0449">
        <w:rPr>
          <w:color w:val="337AB7"/>
        </w:rPr>
        <w:t>Effects of bluff-body cone angle on turbulence-chemistry interaction behaviors in large-scale semicoke and bituminous coal co-combustion</w:t>
      </w:r>
    </w:p>
    <w:p w14:paraId="219B462E" w14:textId="18B268E5" w:rsidR="0078738A" w:rsidRDefault="0078738A" w:rsidP="00CA0449">
      <w:pPr>
        <w:pStyle w:val="a3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Dr </w:t>
      </w:r>
      <w:r w:rsidR="00CA0449" w:rsidRPr="00CA0449">
        <w:rPr>
          <w:rFonts w:ascii="Arial" w:hint="eastAsia"/>
        </w:rPr>
        <w:t>Liutao</w:t>
      </w:r>
      <w:r w:rsidR="00CA0449">
        <w:rPr>
          <w:rFonts w:ascii="Arial"/>
        </w:rPr>
        <w:t xml:space="preserve"> </w:t>
      </w:r>
      <w:r w:rsidR="00CA0449" w:rsidRPr="00CA0449">
        <w:rPr>
          <w:rFonts w:ascii="Arial" w:hint="eastAsia"/>
        </w:rPr>
        <w:t>Sun</w:t>
      </w:r>
      <w:r w:rsidR="005973B9">
        <w:rPr>
          <w:rFonts w:ascii="Arial"/>
        </w:rPr>
        <w:t xml:space="preserve">, </w:t>
      </w:r>
      <w:r w:rsidR="00CA0449" w:rsidRPr="00CA0449">
        <w:rPr>
          <w:rFonts w:ascii="Arial"/>
        </w:rPr>
        <w:t>School of Energy Science and Engineering, Harbin Institute of Technology, Harbin 150001, China</w:t>
      </w:r>
    </w:p>
    <w:p w14:paraId="231F5022" w14:textId="77777777" w:rsidR="00AE3E37" w:rsidRDefault="00AE3E37">
      <w:pPr>
        <w:rPr>
          <w:rFonts w:ascii="Arial"/>
          <w:sz w:val="21"/>
        </w:rPr>
      </w:pPr>
    </w:p>
    <w:p w14:paraId="4D2B4DAC" w14:textId="0554D941" w:rsidR="00CA0449" w:rsidRDefault="00CA0449">
      <w:pPr>
        <w:rPr>
          <w:rFonts w:ascii="Arial"/>
          <w:sz w:val="21"/>
        </w:rPr>
        <w:sectPr w:rsidR="00CA044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14F992D" w14:textId="01AE92A8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14:paraId="58E66242" w14:textId="071E5DCF" w:rsidR="00AE3E37" w:rsidRDefault="00A9710C" w:rsidP="00717307">
      <w:pPr>
        <w:pStyle w:val="a3"/>
        <w:spacing w:before="90" w:line="280" w:lineRule="auto"/>
        <w:ind w:left="100"/>
        <w:jc w:val="both"/>
      </w:pPr>
      <w:r w:rsidRPr="00CA0449">
        <w:rPr>
          <w:b/>
          <w:bCs/>
        </w:rPr>
        <w:t>Statement of the Problem:</w:t>
      </w:r>
      <w:r>
        <w:t xml:space="preserve"> </w:t>
      </w:r>
      <w:r w:rsidR="009C6957">
        <w:t>S</w:t>
      </w:r>
      <w:r w:rsidR="009C6957" w:rsidRPr="009C6957">
        <w:t>emicoke</w:t>
      </w:r>
      <w:r w:rsidR="009C6957">
        <w:t>,</w:t>
      </w:r>
      <w:r>
        <w:t xml:space="preserve"> </w:t>
      </w:r>
      <w:r w:rsidR="009C6957" w:rsidRPr="009C6957">
        <w:t>a solid byproduct from low-temperature pyrolysis of low-rank coal, is characterized by an ultralow volatile content (less than 10%) and a high calorific value, which always causes high NO emissions, poor flame stability and low char burnout when burned at a relatively high temperature.</w:t>
      </w:r>
      <w:r w:rsidR="009C6957">
        <w:t xml:space="preserve"> Hence, co-combustion with high-volatile </w:t>
      </w:r>
      <w:r w:rsidR="009C6957" w:rsidRPr="009C6957">
        <w:t>bituminous coal</w:t>
      </w:r>
      <w:r w:rsidR="009C6957">
        <w:t xml:space="preserve"> is a feasible approach. However, </w:t>
      </w:r>
      <w:r w:rsidR="009C6957" w:rsidRPr="009C6957">
        <w:t xml:space="preserve">the optimal semicoke blending ratio is limited to within 45% ~ 50%, which is usually not sufficient for the large-scale utilization of semicoke in power plants. The implementation of semicoke co-combustion by a larger proportion still faces many challenges, such as </w:t>
      </w:r>
      <w:r w:rsidR="009C6957">
        <w:t>poor</w:t>
      </w:r>
      <w:r w:rsidR="009C6957" w:rsidRPr="009C6957">
        <w:t xml:space="preserve"> </w:t>
      </w:r>
      <w:r w:rsidR="009C6957">
        <w:t xml:space="preserve">performances in </w:t>
      </w:r>
      <w:r w:rsidR="009C6957" w:rsidRPr="009C6957">
        <w:t>ignition</w:t>
      </w:r>
      <w:r w:rsidR="009C6957">
        <w:t xml:space="preserve"> and pollution</w:t>
      </w:r>
      <w:r w:rsidR="009C6957" w:rsidRPr="009C6957">
        <w:t xml:space="preserve"> emissions. To stabilize </w:t>
      </w:r>
      <w:r w:rsidR="009C6957">
        <w:t>semicoke co-</w:t>
      </w:r>
      <w:r w:rsidR="009C6957" w:rsidRPr="009C6957">
        <w:t>combustion, bluff-body burners have been adopted to stabilize flames to promote ignition and reduce the unburned carbon content in fly ash and NOx emissions</w:t>
      </w:r>
      <w:r w:rsidR="009C6957">
        <w:t>.</w:t>
      </w:r>
      <w:r>
        <w:t xml:space="preserve"> </w:t>
      </w:r>
      <w:r w:rsidRPr="00CA0449">
        <w:rPr>
          <w:b/>
          <w:bCs/>
        </w:rPr>
        <w:t>Methodolog</w:t>
      </w:r>
      <w:r w:rsidR="0078738A" w:rsidRPr="00CA0449">
        <w:rPr>
          <w:b/>
          <w:bCs/>
        </w:rPr>
        <w:t>y &amp; Theoretical Orientation:</w:t>
      </w:r>
      <w:r w:rsidR="0078738A">
        <w:t xml:space="preserve"> A</w:t>
      </w:r>
      <w:r w:rsidR="006624A0">
        <w:t xml:space="preserve"> </w:t>
      </w:r>
      <w:r w:rsidR="004F60D3">
        <w:t xml:space="preserve">numerical </w:t>
      </w:r>
      <w:r w:rsidR="006624A0">
        <w:t xml:space="preserve">study using computational fluid dynamics (CFD) </w:t>
      </w:r>
      <w:r>
        <w:t xml:space="preserve">was utilized during </w:t>
      </w:r>
      <w:r w:rsidR="004F60D3">
        <w:t>semicoke co-combustion under various bluff body cone angles</w:t>
      </w:r>
      <w:r w:rsidR="002A0466">
        <w:t xml:space="preserve"> (</w:t>
      </w:r>
      <w:r w:rsidR="002A0466">
        <w:rPr>
          <w:rFonts w:ascii="Times New Roman" w:hAnsi="Times New Roman" w:cs="Times New Roman"/>
        </w:rPr>
        <w:t>α</w:t>
      </w:r>
      <w:r w:rsidR="002A0466">
        <w:t>)</w:t>
      </w:r>
      <w:r>
        <w:t>.</w:t>
      </w:r>
      <w:r w:rsidR="004F60D3">
        <w:t xml:space="preserve"> Damkhöler numbers (</w:t>
      </w:r>
      <w:r w:rsidR="004F60D3" w:rsidRPr="004F60D3">
        <w:rPr>
          <w:i/>
          <w:iCs/>
        </w:rPr>
        <w:t>Da</w:t>
      </w:r>
      <w:r w:rsidR="004F60D3">
        <w:t xml:space="preserve">) for homogeneous and heterogeneous reaction </w:t>
      </w:r>
      <w:r>
        <w:t>was utilized</w:t>
      </w:r>
      <w:r w:rsidR="00404E5B">
        <w:t xml:space="preserve"> </w:t>
      </w:r>
      <w:r>
        <w:t>to</w:t>
      </w:r>
      <w:r w:rsidR="004F60D3">
        <w:t xml:space="preserve"> elaborate the </w:t>
      </w:r>
      <w:r w:rsidR="004F60D3" w:rsidRPr="004F60D3">
        <w:t>microscopic characteristic</w:t>
      </w:r>
      <w:r w:rsidR="004F60D3">
        <w:t xml:space="preserve"> of co-combustion</w:t>
      </w:r>
      <w:r>
        <w:t>.</w:t>
      </w:r>
      <w:r w:rsidRPr="00CA0449">
        <w:rPr>
          <w:b/>
          <w:bCs/>
        </w:rPr>
        <w:t xml:space="preserve"> Findings:</w:t>
      </w:r>
      <w:r>
        <w:t xml:space="preserve"> </w:t>
      </w:r>
      <w:r w:rsidR="002A0466">
        <w:t>W</w:t>
      </w:r>
      <w:r w:rsidR="002A0466" w:rsidRPr="002A0466">
        <w:t xml:space="preserve">ith increasing </w:t>
      </w:r>
      <w:r w:rsidR="002A0466" w:rsidRPr="002A0466">
        <w:rPr>
          <w:rFonts w:ascii="Cambria" w:hAnsi="Cambria" w:cs="Cambria"/>
        </w:rPr>
        <w:t>α</w:t>
      </w:r>
      <w:r w:rsidR="002A0466" w:rsidRPr="002A0466">
        <w:t xml:space="preserve"> the main reaction zone moves upstream significantly, and a widened flame and uniform temperature profile are obtained due to enhancing the internal flue gas recirculation.</w:t>
      </w:r>
      <w:r w:rsidR="002A0466">
        <w:t xml:space="preserve"> The maximum homogeneous Da values </w:t>
      </w:r>
      <w:r w:rsidR="002A0466" w:rsidRPr="002A0466">
        <w:t>are below 0.50</w:t>
      </w:r>
      <w:r w:rsidR="002A0466">
        <w:t>, and the heterogeneous Da</w:t>
      </w:r>
      <w:r w:rsidR="006D4AAE">
        <w:t xml:space="preserve"> values of C-O</w:t>
      </w:r>
      <w:r w:rsidR="006D4AAE" w:rsidRPr="006D4AAE">
        <w:rPr>
          <w:vertAlign w:val="subscript"/>
        </w:rPr>
        <w:t>2</w:t>
      </w:r>
      <w:r w:rsidR="006D4AAE">
        <w:t>, C-CO</w:t>
      </w:r>
      <w:r w:rsidR="006D4AAE" w:rsidRPr="006D4AAE">
        <w:rPr>
          <w:vertAlign w:val="subscript"/>
        </w:rPr>
        <w:t>2</w:t>
      </w:r>
      <w:r w:rsidR="006D4AAE">
        <w:t>, and C-H</w:t>
      </w:r>
      <w:r w:rsidR="006D4AAE" w:rsidRPr="006D4AAE">
        <w:rPr>
          <w:vertAlign w:val="subscript"/>
        </w:rPr>
        <w:t>2</w:t>
      </w:r>
      <w:r w:rsidR="006D4AAE">
        <w:t xml:space="preserve">O </w:t>
      </w:r>
      <w:r w:rsidR="006D4AAE" w:rsidRPr="006D4AAE">
        <w:t xml:space="preserve">are within 0.670-1.207, 0.004-0.017 and 0.001-0.004, indicating that the char oxidation reaction is dominated by diffusion/kinetics, while the char gasification reactions are controlled by chemical kinetics. However, both reactions tend to be kinetically-controlled with increasing </w:t>
      </w:r>
      <w:r w:rsidR="006D4AAE" w:rsidRPr="006D4AAE">
        <w:rPr>
          <w:rFonts w:ascii="Cambria" w:hAnsi="Cambria" w:cs="Cambria"/>
        </w:rPr>
        <w:t>α</w:t>
      </w:r>
      <w:r w:rsidR="006D4AAE" w:rsidRPr="006D4AAE">
        <w:t xml:space="preserve">. </w:t>
      </w:r>
      <w:r w:rsidRPr="00CA0449">
        <w:rPr>
          <w:b/>
          <w:bCs/>
        </w:rPr>
        <w:t xml:space="preserve">Conclusion &amp; Significance: </w:t>
      </w:r>
      <w:r w:rsidR="00717307" w:rsidRPr="00717307">
        <w:t>Based on comprehensive analyses of the simulations, we can gain deep insight into turbulence-chemistry interaction behaviors and NOx formation affected by the cone angle cases, further uncovering the underlying control mechanisms on low-NOx emissions in large-scale semicoke co-combustion.</w:t>
      </w:r>
      <w:r>
        <w:br w:type="column"/>
      </w:r>
      <w:r>
        <w:rPr>
          <w:color w:val="BF5A14"/>
        </w:rPr>
        <w:t>Image</w:t>
      </w:r>
    </w:p>
    <w:p w14:paraId="195471D2" w14:textId="2AB141EC" w:rsidR="00AE3E37" w:rsidRDefault="0011161E">
      <w:pPr>
        <w:pStyle w:val="a3"/>
        <w:spacing w:before="2"/>
        <w:rPr>
          <w:rFonts w:ascii="Arial"/>
          <w:b/>
          <w:sz w:val="16"/>
        </w:rPr>
      </w:pPr>
      <w:r w:rsidRPr="0011161E">
        <w:t xml:space="preserve">  </w:t>
      </w:r>
      <w:r w:rsidR="00203476" w:rsidRPr="00203476">
        <w:t xml:space="preserve"> </w:t>
      </w:r>
      <w:r w:rsidR="00381EF0">
        <w:rPr>
          <w:noProof/>
        </w:rPr>
        <w:drawing>
          <wp:inline distT="0" distB="0" distL="0" distR="0" wp14:anchorId="3A940BFF" wp14:editId="6D3ACDFA">
            <wp:extent cx="3164205" cy="24079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F31B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1435509" w14:textId="04C311AC" w:rsidR="005973B9" w:rsidRDefault="00203476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03476">
        <w:rPr>
          <w:rFonts w:hint="eastAsia"/>
          <w:sz w:val="18"/>
        </w:rPr>
        <w:t>Sun.</w:t>
      </w:r>
      <w:r>
        <w:rPr>
          <w:sz w:val="18"/>
        </w:rPr>
        <w:t xml:space="preserve"> </w:t>
      </w:r>
      <w:r w:rsidRPr="00203476">
        <w:rPr>
          <w:sz w:val="18"/>
        </w:rPr>
        <w:t>L</w:t>
      </w:r>
      <w:r w:rsidR="005973B9">
        <w:rPr>
          <w:sz w:val="18"/>
        </w:rPr>
        <w:t xml:space="preserve"> (20</w:t>
      </w:r>
      <w:r>
        <w:rPr>
          <w:sz w:val="18"/>
        </w:rPr>
        <w:t>22</w:t>
      </w:r>
      <w:r w:rsidR="005973B9">
        <w:rPr>
          <w:sz w:val="18"/>
        </w:rPr>
        <w:t xml:space="preserve">) </w:t>
      </w:r>
      <w:r w:rsidRPr="00203476">
        <w:rPr>
          <w:sz w:val="18"/>
        </w:rPr>
        <w:t>Effect of bluff body addition in fuel-rich stream on reaction behaviours of large-proportion semicoke rich/lean blended combustion</w:t>
      </w:r>
      <w:r w:rsidR="005973B9" w:rsidRPr="005973B9">
        <w:rPr>
          <w:sz w:val="18"/>
        </w:rPr>
        <w:t xml:space="preserve">. </w:t>
      </w:r>
      <w:r w:rsidRPr="00203476">
        <w:rPr>
          <w:rFonts w:hint="eastAsia"/>
          <w:sz w:val="18"/>
        </w:rPr>
        <w:t>Fuel</w:t>
      </w:r>
      <w:r w:rsidR="005973B9" w:rsidRPr="005973B9">
        <w:rPr>
          <w:sz w:val="18"/>
        </w:rPr>
        <w:t xml:space="preserve"> </w:t>
      </w:r>
      <w:r>
        <w:rPr>
          <w:sz w:val="18"/>
        </w:rPr>
        <w:t>308</w:t>
      </w:r>
      <w:r w:rsidR="005973B9" w:rsidRPr="005973B9">
        <w:rPr>
          <w:sz w:val="18"/>
        </w:rPr>
        <w:t>:</w:t>
      </w:r>
      <w:r>
        <w:rPr>
          <w:sz w:val="18"/>
        </w:rPr>
        <w:t>122020</w:t>
      </w:r>
      <w:r w:rsidR="005973B9" w:rsidRPr="005973B9">
        <w:rPr>
          <w:sz w:val="18"/>
        </w:rPr>
        <w:t>.</w:t>
      </w:r>
    </w:p>
    <w:p w14:paraId="5F21F10A" w14:textId="28AD49C8" w:rsidR="005973B9" w:rsidRDefault="00203476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203476">
        <w:rPr>
          <w:sz w:val="18"/>
        </w:rPr>
        <w:t>Shanbhogue</w:t>
      </w:r>
      <w:proofErr w:type="spellEnd"/>
      <w:r w:rsidR="00CA4DD2">
        <w:rPr>
          <w:sz w:val="18"/>
        </w:rPr>
        <w:t>. S J</w:t>
      </w:r>
      <w:r>
        <w:rPr>
          <w:sz w:val="18"/>
        </w:rPr>
        <w:t xml:space="preserve"> (2009)</w:t>
      </w:r>
      <w:r w:rsidRPr="00203476">
        <w:rPr>
          <w:sz w:val="18"/>
        </w:rPr>
        <w:t xml:space="preserve"> Lean blowoff of bluff body stabilized flames: Scaling and dynamics. Progress in Energy and Combustion Science 35: 98-120.</w:t>
      </w:r>
    </w:p>
    <w:p w14:paraId="59B67ADB" w14:textId="71CF744B" w:rsidR="00203476" w:rsidRDefault="00203476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203476">
        <w:rPr>
          <w:sz w:val="18"/>
        </w:rPr>
        <w:t>Minamoto</w:t>
      </w:r>
      <w:r w:rsidR="00CA4DD2">
        <w:rPr>
          <w:sz w:val="18"/>
        </w:rPr>
        <w:t>. Y</w:t>
      </w:r>
      <w:r>
        <w:rPr>
          <w:sz w:val="18"/>
        </w:rPr>
        <w:t xml:space="preserve"> (2014)</w:t>
      </w:r>
      <w:r w:rsidRPr="00203476">
        <w:rPr>
          <w:sz w:val="18"/>
        </w:rPr>
        <w:t xml:space="preserve"> Reaction zones and their structure in MILD combustion. Combust Flame 1688: 1075-96.</w:t>
      </w:r>
    </w:p>
    <w:p w14:paraId="2D1EE141" w14:textId="5CFA3C70" w:rsidR="005973B9" w:rsidRPr="00203476" w:rsidRDefault="00203476" w:rsidP="0020347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203476">
        <w:rPr>
          <w:sz w:val="18"/>
        </w:rPr>
        <w:t>Wang</w:t>
      </w:r>
      <w:r w:rsidR="00CA4DD2">
        <w:rPr>
          <w:sz w:val="18"/>
        </w:rPr>
        <w:t>. Z</w:t>
      </w:r>
      <w:r>
        <w:rPr>
          <w:sz w:val="18"/>
        </w:rPr>
        <w:t xml:space="preserve"> (2019)</w:t>
      </w:r>
      <w:r w:rsidRPr="00203476">
        <w:rPr>
          <w:sz w:val="18"/>
        </w:rPr>
        <w:t xml:space="preserve"> Predicting lean blow-off of bluff body stabilized flames based on Damköhler number. Chinese Journal of Aeronautics, 32(2): 308-23.</w:t>
      </w:r>
    </w:p>
    <w:p w14:paraId="14B444DF" w14:textId="5D82CD60"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741B5E" w:rsidRPr="00741B5E">
        <w:rPr>
          <w:rFonts w:ascii="Calibri" w:hAnsi="Calibri"/>
        </w:rPr>
        <w:t>Wang</w:t>
      </w:r>
      <w:r w:rsidR="00CA4DD2">
        <w:rPr>
          <w:rFonts w:ascii="Calibri" w:hAnsi="Calibri"/>
        </w:rPr>
        <w:t>.</w:t>
      </w:r>
      <w:r w:rsidR="00741B5E" w:rsidRPr="00741B5E">
        <w:rPr>
          <w:rFonts w:ascii="Calibri" w:hAnsi="Calibri"/>
        </w:rPr>
        <w:t xml:space="preserve"> C </w:t>
      </w:r>
      <w:r w:rsidR="00CA4DD2">
        <w:rPr>
          <w:rFonts w:ascii="Calibri" w:hAnsi="Calibri"/>
        </w:rPr>
        <w:t xml:space="preserve">(2020) </w:t>
      </w:r>
      <w:r w:rsidR="00741B5E" w:rsidRPr="00741B5E">
        <w:rPr>
          <w:rFonts w:ascii="Calibri" w:hAnsi="Calibri"/>
        </w:rPr>
        <w:t>Experimental evaluation on co-combustion characteristics of semi-coke and coal under enhanced high-temperature and strong-reducing atmosphere [J]. Applied Energy, 260: 114203.</w:t>
      </w:r>
    </w:p>
    <w:p w14:paraId="62C2D2B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71A76B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D4857B0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B58F0A6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3E2FAE8" wp14:editId="25C06CD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9EC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E14F7ED" w14:textId="0579713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A4DD2">
        <w:rPr>
          <w:noProof/>
        </w:rPr>
        <w:drawing>
          <wp:inline distT="0" distB="0" distL="0" distR="0" wp14:anchorId="28A14E0E" wp14:editId="6148C98C">
            <wp:extent cx="428633" cy="622800"/>
            <wp:effectExtent l="0" t="0" r="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33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05784752" w14:textId="2536A6BB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3408D9">
        <w:rPr>
          <w:rFonts w:ascii="Arial"/>
          <w:sz w:val="14"/>
        </w:rPr>
        <w:t>.</w:t>
      </w:r>
      <w:r w:rsidR="00CA4DD2">
        <w:rPr>
          <w:rFonts w:ascii="Arial"/>
          <w:sz w:val="14"/>
        </w:rPr>
        <w:t xml:space="preserve"> Sun</w:t>
      </w:r>
      <w:r w:rsidR="0078738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 h</w:t>
      </w:r>
      <w:r w:rsidR="003408D9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expertise in improving the </w:t>
      </w:r>
      <w:r w:rsidR="002B5AFE">
        <w:rPr>
          <w:rFonts w:ascii="Arial"/>
          <w:sz w:val="14"/>
        </w:rPr>
        <w:t xml:space="preserve">semicoke blended combustion and air/oxy-MILD </w:t>
      </w:r>
      <w:r w:rsidR="00B45FD6">
        <w:rPr>
          <w:rFonts w:ascii="Arial"/>
          <w:sz w:val="14"/>
        </w:rPr>
        <w:t xml:space="preserve">semicoke </w:t>
      </w:r>
      <w:r w:rsidR="002B5AFE">
        <w:rPr>
          <w:rFonts w:ascii="Arial"/>
          <w:sz w:val="14"/>
        </w:rPr>
        <w:t>combustion</w:t>
      </w:r>
      <w:r>
        <w:rPr>
          <w:rFonts w:ascii="Arial"/>
          <w:sz w:val="14"/>
        </w:rPr>
        <w:t xml:space="preserve">. </w:t>
      </w:r>
      <w:r w:rsidR="00B45FD6">
        <w:rPr>
          <w:rFonts w:ascii="Arial"/>
          <w:sz w:val="14"/>
        </w:rPr>
        <w:t>His</w:t>
      </w:r>
      <w:r w:rsidR="00B45FD6" w:rsidRPr="00B45FD6">
        <w:rPr>
          <w:rFonts w:ascii="Arial"/>
          <w:sz w:val="14"/>
        </w:rPr>
        <w:t xml:space="preserve"> findings can provide deep insight into the turbulence-chemistry interactions and its effect on NOx emission characteristics of semicoke co-combustion in a bluff-body tangential burner</w:t>
      </w:r>
      <w:r w:rsidR="00B45FD6">
        <w:rPr>
          <w:rFonts w:ascii="Arial"/>
          <w:sz w:val="14"/>
        </w:rPr>
        <w:t xml:space="preserve"> and can guide the boiler operation</w:t>
      </w:r>
      <w:r w:rsidR="00B45FD6" w:rsidRPr="00B45FD6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7254D0F4" w14:textId="3AF7779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408D9" w:rsidRPr="00E87BFB">
          <w:rPr>
            <w:rStyle w:val="ac"/>
            <w:rFonts w:ascii="Arial"/>
            <w:sz w:val="14"/>
          </w:rPr>
          <w:t>1095532412@qq.com</w:t>
        </w:r>
      </w:hyperlink>
    </w:p>
    <w:p w14:paraId="3AE11B60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F6DB49" wp14:editId="37474CC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E534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6CE978B" w14:textId="0AE50D52" w:rsidR="00AE3E37" w:rsidRPr="003408D9" w:rsidRDefault="00A9710C" w:rsidP="003408D9">
      <w:pPr>
        <w:spacing w:before="39"/>
        <w:ind w:left="100"/>
        <w:rPr>
          <w:rFonts w:ascii="Minion Pro"/>
          <w:b/>
          <w:sz w:val="20"/>
        </w:rPr>
        <w:sectPr w:rsidR="00AE3E37" w:rsidRPr="003408D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7E9877E0" w14:textId="1BD3C61E" w:rsidR="00AE3E37" w:rsidRDefault="00AE3E37" w:rsidP="003408D9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58B09" w14:textId="77777777" w:rsidR="004A75C6" w:rsidRDefault="004A75C6">
      <w:r>
        <w:separator/>
      </w:r>
    </w:p>
  </w:endnote>
  <w:endnote w:type="continuationSeparator" w:id="0">
    <w:p w14:paraId="61CFB0F2" w14:textId="77777777" w:rsidR="004A75C6" w:rsidRDefault="004A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E3C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C49587D" wp14:editId="44D462B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FA5E7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906FB4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958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DFA5E7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906FB4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DAEB62" wp14:editId="4384C23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7F61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FE9A64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DAEB6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7A37F61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FE9A64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71C0AAD" wp14:editId="69D2865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1703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EF9F29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C0AA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3C1703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EF9F29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60F0C" w14:textId="77777777" w:rsidR="004A75C6" w:rsidRDefault="004A75C6">
      <w:r>
        <w:separator/>
      </w:r>
    </w:p>
  </w:footnote>
  <w:footnote w:type="continuationSeparator" w:id="0">
    <w:p w14:paraId="00373835" w14:textId="77777777" w:rsidR="004A75C6" w:rsidRDefault="004A7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AD03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51BCE6D" wp14:editId="26CB1DB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9466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BCE6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4C79466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93FC175" wp14:editId="7DED866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ED755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C07BC8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3FC17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6C2ED755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C07BC8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A5E37"/>
    <w:rsid w:val="000E2911"/>
    <w:rsid w:val="0011161E"/>
    <w:rsid w:val="001263DF"/>
    <w:rsid w:val="001E763C"/>
    <w:rsid w:val="00203476"/>
    <w:rsid w:val="00292ED9"/>
    <w:rsid w:val="002A0466"/>
    <w:rsid w:val="002B5AFE"/>
    <w:rsid w:val="00314AFB"/>
    <w:rsid w:val="003408D9"/>
    <w:rsid w:val="00381EF0"/>
    <w:rsid w:val="003B76D9"/>
    <w:rsid w:val="00404E5B"/>
    <w:rsid w:val="00414F7B"/>
    <w:rsid w:val="004355DC"/>
    <w:rsid w:val="004749B4"/>
    <w:rsid w:val="00494130"/>
    <w:rsid w:val="004A75C6"/>
    <w:rsid w:val="004F3523"/>
    <w:rsid w:val="004F60D3"/>
    <w:rsid w:val="005973B9"/>
    <w:rsid w:val="005B3A56"/>
    <w:rsid w:val="006060CE"/>
    <w:rsid w:val="0063497F"/>
    <w:rsid w:val="006624A0"/>
    <w:rsid w:val="006D4AAE"/>
    <w:rsid w:val="00717307"/>
    <w:rsid w:val="00741B5E"/>
    <w:rsid w:val="00751C49"/>
    <w:rsid w:val="0078738A"/>
    <w:rsid w:val="00873DF0"/>
    <w:rsid w:val="008756E6"/>
    <w:rsid w:val="00925B94"/>
    <w:rsid w:val="009B2D44"/>
    <w:rsid w:val="009C6957"/>
    <w:rsid w:val="00A07E82"/>
    <w:rsid w:val="00A9710C"/>
    <w:rsid w:val="00AA3926"/>
    <w:rsid w:val="00AE3E37"/>
    <w:rsid w:val="00B21A57"/>
    <w:rsid w:val="00B45FD6"/>
    <w:rsid w:val="00B60746"/>
    <w:rsid w:val="00C33602"/>
    <w:rsid w:val="00CA0449"/>
    <w:rsid w:val="00CA4DD2"/>
    <w:rsid w:val="00CD6F55"/>
    <w:rsid w:val="00D62425"/>
    <w:rsid w:val="00DE3104"/>
    <w:rsid w:val="00E02C4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CA322"/>
  <w15:docId w15:val="{A53655AE-7856-4C43-9BA0-3A0A91C2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340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095532412@qq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sun liutao</cp:lastModifiedBy>
  <cp:revision>4</cp:revision>
  <dcterms:created xsi:type="dcterms:W3CDTF">2022-02-22T04:17:00Z</dcterms:created>
  <dcterms:modified xsi:type="dcterms:W3CDTF">2022-02-22T04:23:00Z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