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
        <w:rPr>
          <w:sz w:val="16"/>
        </w:rPr>
      </w:pPr>
    </w:p>
    <w:p>
      <w:pPr>
        <w:spacing w:before="93"/>
        <w:ind w:left="3316" w:right="3324" w:firstLine="0"/>
        <w:jc w:val="center"/>
        <w:rPr>
          <w:b/>
          <w:sz w:val="31"/>
        </w:rPr>
      </w:pPr>
      <w:r>
        <w:rPr>
          <w:b/>
          <w:sz w:val="31"/>
        </w:rPr>
        <w:t>Abstract</w:t>
      </w:r>
      <w:r>
        <w:rPr>
          <w:b/>
          <w:spacing w:val="70"/>
          <w:sz w:val="31"/>
        </w:rPr>
        <w:t> </w:t>
      </w:r>
      <w:r>
        <w:rPr>
          <w:b/>
          <w:sz w:val="31"/>
        </w:rPr>
        <w:t>Template</w:t>
      </w:r>
    </w:p>
    <w:p>
      <w:pPr>
        <w:pStyle w:val="Heading1"/>
        <w:spacing w:line="276" w:lineRule="auto" w:before="250"/>
        <w:ind w:left="1502" w:right="1510" w:firstLine="539"/>
      </w:pPr>
      <w:r>
        <w:rPr/>
        <w:t>Synthesis and reactivity of bromocyanobutadiyne: from interstellar chemistry to organic synthesis</w:t>
      </w:r>
      <w:r>
        <w:rPr>
          <w:spacing w:val="-20"/>
        </w:rPr>
        <w:t> </w:t>
      </w:r>
      <w:r>
        <w:rPr/>
        <w:t>methodology</w:t>
      </w:r>
    </w:p>
    <w:p>
      <w:pPr>
        <w:pStyle w:val="BodyText"/>
        <w:rPr>
          <w:b/>
          <w:sz w:val="26"/>
        </w:rPr>
      </w:pPr>
    </w:p>
    <w:p>
      <w:pPr>
        <w:pStyle w:val="BodyText"/>
        <w:spacing w:before="7"/>
        <w:rPr>
          <w:b/>
          <w:sz w:val="36"/>
        </w:rPr>
      </w:pPr>
    </w:p>
    <w:p>
      <w:pPr>
        <w:pStyle w:val="BodyText"/>
        <w:ind w:left="3316" w:right="3324"/>
        <w:jc w:val="center"/>
      </w:pPr>
      <w:r>
        <w:rPr>
          <w:u w:val="single"/>
        </w:rPr>
        <w:t>Yann Trolez</w:t>
      </w:r>
    </w:p>
    <w:p>
      <w:pPr>
        <w:pStyle w:val="BodyText"/>
        <w:spacing w:before="1"/>
        <w:rPr>
          <w:sz w:val="16"/>
        </w:rPr>
      </w:pPr>
    </w:p>
    <w:p>
      <w:pPr>
        <w:pStyle w:val="BodyText"/>
        <w:spacing w:line="242" w:lineRule="auto" w:before="90"/>
        <w:ind w:left="101" w:right="287"/>
      </w:pPr>
      <w:r>
        <w:rPr/>
        <w:t>Ecole Nationale Supérieure de Chimie de Rennes, CNRS, UMR 6226, 11 allée de Beaulieu, CS 50837, 35708 Rennes Cedex 7</w:t>
      </w:r>
    </w:p>
    <w:p>
      <w:pPr>
        <w:pStyle w:val="BodyText"/>
        <w:rPr>
          <w:sz w:val="26"/>
        </w:rPr>
      </w:pPr>
    </w:p>
    <w:p>
      <w:pPr>
        <w:pStyle w:val="BodyText"/>
        <w:spacing w:before="5"/>
        <w:rPr>
          <w:sz w:val="21"/>
        </w:rPr>
      </w:pPr>
    </w:p>
    <w:p>
      <w:pPr>
        <w:pStyle w:val="Heading1"/>
        <w:spacing w:before="1"/>
      </w:pPr>
      <w:r>
        <w:rPr/>
        <w:t>Abstract (not more than 300 words)</w:t>
      </w:r>
    </w:p>
    <w:p>
      <w:pPr>
        <w:pStyle w:val="BodyText"/>
        <w:spacing w:before="5"/>
        <w:rPr>
          <w:b/>
          <w:sz w:val="22"/>
        </w:rPr>
      </w:pPr>
    </w:p>
    <w:p>
      <w:pPr>
        <w:pStyle w:val="BodyText"/>
        <w:spacing w:line="266" w:lineRule="auto" w:before="1"/>
        <w:ind w:left="101" w:right="109" w:firstLine="720"/>
        <w:jc w:val="both"/>
      </w:pPr>
      <w:r>
        <w:rPr/>
        <w:t>Some cyanopolyynes (the formula of which is R-(C</w:t>
      </w:r>
      <w:r>
        <w:rPr>
          <w:rFonts w:ascii="Symbol" w:hAnsi="Symbol"/>
        </w:rPr>
        <w:t></w:t>
      </w:r>
      <w:r>
        <w:rPr/>
        <w:t>C)</w:t>
      </w:r>
      <w:r>
        <w:rPr>
          <w:position w:val="-2"/>
          <w:sz w:val="16"/>
        </w:rPr>
        <w:t>n</w:t>
      </w:r>
      <w:r>
        <w:rPr/>
        <w:t>-CN with R = H or Me) have been detected in the interstellar medium (ISM)</w:t>
      </w:r>
      <w:r>
        <w:rPr>
          <w:position w:val="11"/>
          <w:sz w:val="16"/>
        </w:rPr>
        <w:t>1 </w:t>
      </w:r>
      <w:r>
        <w:rPr/>
        <w:t>and on Titan for some of them.</w:t>
      </w:r>
      <w:r>
        <w:rPr>
          <w:position w:val="11"/>
          <w:sz w:val="16"/>
        </w:rPr>
        <w:t>2,3 </w:t>
      </w:r>
      <w:r>
        <w:rPr/>
        <w:t>Our laboratory has been studying from several years these compounds by synthesizing them and studying their chemical or photochemical reactivity. However, despite the low number of atoms these compounds possess, their synthesis in laboratory still remains a scientific challenge. Thus, we have recently described a synthetic pathway for cyanopolyynes having two conjugated C</w:t>
      </w:r>
      <w:r>
        <w:rPr>
          <w:rFonts w:ascii="Symbol" w:hAnsi="Symbol"/>
        </w:rPr>
        <w:t></w:t>
      </w:r>
      <w:r>
        <w:rPr/>
        <w:t>C triple bonds (n = 2),</w:t>
      </w:r>
      <w:r>
        <w:rPr>
          <w:position w:val="11"/>
          <w:sz w:val="16"/>
        </w:rPr>
        <w:t>4,5 </w:t>
      </w:r>
      <w:r>
        <w:rPr/>
        <w:t>but their superior counterparts (n = 3) stay elusive</w:t>
      </w:r>
    </w:p>
    <w:p>
      <w:pPr>
        <w:pStyle w:val="BodyText"/>
        <w:spacing w:before="21"/>
        <w:ind w:left="101"/>
      </w:pPr>
      <w:r>
        <w:rPr/>
        <w:t>so far.</w:t>
      </w:r>
    </w:p>
    <w:p>
      <w:pPr>
        <w:pStyle w:val="BodyText"/>
        <w:spacing w:before="7"/>
        <w:rPr>
          <w:sz w:val="13"/>
        </w:rPr>
      </w:pPr>
    </w:p>
    <w:p>
      <w:pPr>
        <w:pStyle w:val="BodyText"/>
        <w:spacing w:line="271" w:lineRule="auto" w:before="90"/>
        <w:ind w:left="101" w:right="111" w:firstLine="708"/>
        <w:jc w:val="both"/>
      </w:pPr>
      <w:r>
        <w:rPr/>
        <w:t>To solve this problem, we synthesized the bromocyanobutadiyne (5-bromopenta-2,4- diynenitrile ; Br-C</w:t>
      </w:r>
      <w:r>
        <w:rPr>
          <w:rFonts w:ascii="Symbol" w:hAnsi="Symbol"/>
        </w:rPr>
        <w:t></w:t>
      </w:r>
      <w:r>
        <w:rPr/>
        <w:t>C-C</w:t>
      </w:r>
      <w:r>
        <w:rPr>
          <w:rFonts w:ascii="Symbol" w:hAnsi="Symbol"/>
        </w:rPr>
        <w:t></w:t>
      </w:r>
      <w:r>
        <w:rPr/>
        <w:t>C-CN) and reacted it with different terminal alkynes under Cadiot- Chodkiewicz conditions.</w:t>
      </w:r>
      <w:r>
        <w:rPr>
          <w:position w:val="11"/>
          <w:sz w:val="16"/>
        </w:rPr>
        <w:t>6 </w:t>
      </w:r>
      <w:r>
        <w:rPr/>
        <w:t>Surprisingly, the corresponding cyanopolyynes were not obtained but more complex compounds, resulting from cascade reactions, were isolated. In particular, a diene was obtained stereoselectively when using monoacetylenic reactants. When using triisopropylsilylbutadiyne, a functionalized benzofulvene was obtained (Figure 1). The characterization of these unexpected products is based on X-ray crystallography, among other usual techniques. The mechanisms of formation of these products, which were studied both experimentally and theoretically, will be</w:t>
      </w:r>
      <w:r>
        <w:rPr>
          <w:spacing w:val="-26"/>
        </w:rPr>
        <w:t> </w:t>
      </w:r>
      <w:r>
        <w:rPr/>
        <w:t>discussed.</w:t>
      </w:r>
    </w:p>
    <w:p>
      <w:pPr>
        <w:pStyle w:val="BodyText"/>
        <w:spacing w:before="2"/>
        <w:rPr>
          <w:sz w:val="15"/>
        </w:rPr>
      </w:pPr>
      <w:r>
        <w:rPr/>
        <w:drawing>
          <wp:anchor distT="0" distB="0" distL="0" distR="0" allowOverlap="1" layoutInCell="1" locked="0" behindDoc="0" simplePos="0" relativeHeight="0">
            <wp:simplePos x="0" y="0"/>
            <wp:positionH relativeFrom="page">
              <wp:posOffset>2676523</wp:posOffset>
            </wp:positionH>
            <wp:positionV relativeFrom="paragraph">
              <wp:posOffset>136025</wp:posOffset>
            </wp:positionV>
            <wp:extent cx="2193689" cy="1570482"/>
            <wp:effectExtent l="0" t="0" r="0" b="0"/>
            <wp:wrapTopAndBottom/>
            <wp:docPr id="3" name="image2.png" descr=""/>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2193689" cy="1570482"/>
                    </a:xfrm>
                    <a:prstGeom prst="rect">
                      <a:avLst/>
                    </a:prstGeom>
                  </pic:spPr>
                </pic:pic>
              </a:graphicData>
            </a:graphic>
          </wp:anchor>
        </w:drawing>
      </w:r>
    </w:p>
    <w:p>
      <w:pPr>
        <w:pStyle w:val="BodyText"/>
        <w:spacing w:before="9"/>
        <w:rPr>
          <w:sz w:val="25"/>
        </w:rPr>
      </w:pPr>
    </w:p>
    <w:p>
      <w:pPr>
        <w:spacing w:before="1"/>
        <w:ind w:left="101" w:right="0" w:firstLine="0"/>
        <w:jc w:val="left"/>
        <w:rPr>
          <w:i/>
          <w:sz w:val="19"/>
        </w:rPr>
      </w:pPr>
      <w:r>
        <w:rPr>
          <w:b/>
          <w:w w:val="105"/>
          <w:sz w:val="19"/>
        </w:rPr>
        <w:t>Figure 1. </w:t>
      </w:r>
      <w:r>
        <w:rPr>
          <w:i/>
          <w:w w:val="105"/>
          <w:sz w:val="19"/>
        </w:rPr>
        <w:t>Reactivity of bromocyanobutadiyne with triisopropylsilylacetylene and triisopropylsilylbutadiyne</w:t>
      </w:r>
    </w:p>
    <w:p>
      <w:pPr>
        <w:spacing w:after="0"/>
        <w:jc w:val="left"/>
        <w:rPr>
          <w:sz w:val="19"/>
        </w:rPr>
        <w:sectPr>
          <w:headerReference w:type="default" r:id="rId5"/>
          <w:type w:val="continuous"/>
          <w:pgSz w:w="11900" w:h="16840"/>
          <w:pgMar w:header="710" w:top="1780" w:bottom="280" w:left="1340" w:right="1320"/>
        </w:sectPr>
      </w:pPr>
    </w:p>
    <w:p>
      <w:pPr>
        <w:pStyle w:val="BodyText"/>
        <w:rPr>
          <w:i/>
          <w:sz w:val="20"/>
        </w:rPr>
      </w:pPr>
    </w:p>
    <w:p>
      <w:pPr>
        <w:pStyle w:val="BodyText"/>
        <w:spacing w:before="2"/>
        <w:rPr>
          <w:i/>
          <w:sz w:val="19"/>
        </w:rPr>
      </w:pPr>
    </w:p>
    <w:p>
      <w:pPr>
        <w:spacing w:before="90"/>
        <w:ind w:left="121" w:right="0" w:firstLine="0"/>
        <w:jc w:val="both"/>
        <w:rPr>
          <w:i/>
          <w:sz w:val="24"/>
        </w:rPr>
      </w:pPr>
      <w:r>
        <w:rPr>
          <w:sz w:val="24"/>
        </w:rPr>
        <w:t>Keywords— </w:t>
      </w:r>
      <w:r>
        <w:rPr>
          <w:i/>
          <w:sz w:val="24"/>
        </w:rPr>
        <w:t>Cascade reactions, cyanopolyynes, interstellar chemistry.</w:t>
      </w:r>
    </w:p>
    <w:p>
      <w:pPr>
        <w:pStyle w:val="BodyText"/>
        <w:rPr>
          <w:i/>
          <w:sz w:val="26"/>
        </w:rPr>
      </w:pPr>
    </w:p>
    <w:p>
      <w:pPr>
        <w:pStyle w:val="BodyText"/>
        <w:spacing w:before="2"/>
        <w:rPr>
          <w:i/>
          <w:sz w:val="22"/>
        </w:rPr>
      </w:pPr>
    </w:p>
    <w:p>
      <w:pPr>
        <w:pStyle w:val="Heading1"/>
        <w:ind w:left="121"/>
        <w:jc w:val="both"/>
      </w:pPr>
      <w:r>
        <w:rPr/>
        <w:t>Professional Biography (100-150 words)</w:t>
      </w:r>
    </w:p>
    <w:p>
      <w:pPr>
        <w:pStyle w:val="BodyText"/>
        <w:rPr>
          <w:b/>
        </w:rPr>
      </w:pPr>
    </w:p>
    <w:p>
      <w:pPr>
        <w:pStyle w:val="BodyText"/>
        <w:ind w:left="121" w:right="111"/>
        <w:jc w:val="both"/>
      </w:pPr>
      <w:r>
        <w:rPr/>
        <w:t>Yann Trolez has completed his PhD in 2010 from the University of Strasbourg under the guidance of Jean-Paul Collin and Jean-Pierre Sauvage where he worked on rotaxane-based molecular machines. He then moved to ETH Zürich in François Diederich group as a postdoctoral fellow where he worked on alleno-acetylenic compounds bearing interesting optoelectronic properties. In 2011, he was appointed assistant professor at the Ecole Nationale Supérieure de Chimie de Rennes where he now works on organic interstellar chemistry and on new cyanated compounds having interesting optical properties. He published about 30 papers in peer-review international</w:t>
      </w:r>
      <w:r>
        <w:rPr>
          <w:spacing w:val="-21"/>
        </w:rPr>
        <w:t> </w:t>
      </w:r>
      <w:r>
        <w:rPr/>
        <w:t>journals.</w:t>
      </w:r>
    </w:p>
    <w:p>
      <w:pPr>
        <w:pStyle w:val="BodyText"/>
        <w:rPr>
          <w:sz w:val="20"/>
        </w:rPr>
      </w:pPr>
    </w:p>
    <w:p>
      <w:pPr>
        <w:pStyle w:val="BodyText"/>
        <w:spacing w:before="10"/>
      </w:pPr>
      <w:r>
        <w:rPr/>
        <w:drawing>
          <wp:anchor distT="0" distB="0" distL="0" distR="0" allowOverlap="1" layoutInCell="1" locked="0" behindDoc="0" simplePos="0" relativeHeight="1048">
            <wp:simplePos x="0" y="0"/>
            <wp:positionH relativeFrom="page">
              <wp:posOffset>976355</wp:posOffset>
            </wp:positionH>
            <wp:positionV relativeFrom="paragraph">
              <wp:posOffset>206537</wp:posOffset>
            </wp:positionV>
            <wp:extent cx="1652205" cy="1483614"/>
            <wp:effectExtent l="0" t="0" r="0" b="0"/>
            <wp:wrapTopAndBottom/>
            <wp:docPr id="5" name="image3.jpeg" descr=""/>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1652205" cy="1483614"/>
                    </a:xfrm>
                    <a:prstGeom prst="rect">
                      <a:avLst/>
                    </a:prstGeom>
                  </pic:spPr>
                </pic:pic>
              </a:graphicData>
            </a:graphic>
          </wp:anchor>
        </w:drawing>
      </w:r>
    </w:p>
    <w:p>
      <w:pPr>
        <w:pStyle w:val="BodyText"/>
        <w:rPr>
          <w:sz w:val="26"/>
        </w:rPr>
      </w:pPr>
    </w:p>
    <w:p>
      <w:pPr>
        <w:pStyle w:val="BodyText"/>
        <w:spacing w:before="224"/>
        <w:ind w:left="5541"/>
      </w:pPr>
      <w:r>
        <w:rPr/>
        <w:t>Email </w:t>
      </w:r>
      <w:hyperlink r:id="rId8">
        <w:r>
          <w:rPr/>
          <w:t>Id: yann.trolez@ensc-rennes.fr</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r>
        <w:rPr/>
        <w:pict>
          <v:line style="position:absolute;mso-position-horizontal-relative:page;mso-position-vertical-relative:paragraph;z-index:1072;mso-wrap-distance-left:0;mso-wrap-distance-right:0" from="72.099998pt,13.909668pt" to="216.099998pt,13.909668pt" stroked="true" strokeweight=".720001pt" strokecolor="#000000">
            <v:stroke dashstyle="solid"/>
            <w10:wrap type="topAndBottom"/>
          </v:line>
        </w:pict>
      </w:r>
    </w:p>
    <w:p>
      <w:pPr>
        <w:spacing w:line="261" w:lineRule="auto" w:before="44"/>
        <w:ind w:left="121" w:right="112" w:firstLine="0"/>
        <w:jc w:val="left"/>
        <w:rPr>
          <w:sz w:val="21"/>
        </w:rPr>
      </w:pPr>
      <w:r>
        <w:rPr>
          <w:rFonts w:ascii="Calibri"/>
          <w:w w:val="105"/>
          <w:position w:val="10"/>
          <w:sz w:val="14"/>
        </w:rPr>
        <w:t>1 </w:t>
      </w:r>
      <w:r>
        <w:rPr>
          <w:w w:val="105"/>
          <w:sz w:val="21"/>
        </w:rPr>
        <w:t>P. Thaddeus, M. C. McCarthy, M. J. Travers, C. A. Gottlieb, W. Chen, </w:t>
      </w:r>
      <w:r>
        <w:rPr>
          <w:i/>
          <w:w w:val="105"/>
          <w:sz w:val="21"/>
        </w:rPr>
        <w:t>Faraday Discuss. </w:t>
      </w:r>
      <w:r>
        <w:rPr>
          <w:b/>
          <w:w w:val="105"/>
          <w:sz w:val="21"/>
        </w:rPr>
        <w:t>1998</w:t>
      </w:r>
      <w:r>
        <w:rPr>
          <w:w w:val="105"/>
          <w:sz w:val="21"/>
        </w:rPr>
        <w:t>, </w:t>
      </w:r>
      <w:r>
        <w:rPr>
          <w:i/>
          <w:w w:val="105"/>
          <w:sz w:val="21"/>
        </w:rPr>
        <w:t>109</w:t>
      </w:r>
      <w:r>
        <w:rPr>
          <w:w w:val="105"/>
          <w:sz w:val="21"/>
        </w:rPr>
        <w:t>, 121-135</w:t>
      </w:r>
    </w:p>
    <w:p>
      <w:pPr>
        <w:spacing w:line="238" w:lineRule="exact" w:before="0"/>
        <w:ind w:left="121" w:right="0" w:firstLine="0"/>
        <w:jc w:val="both"/>
        <w:rPr>
          <w:sz w:val="21"/>
        </w:rPr>
      </w:pPr>
      <w:r>
        <w:rPr>
          <w:rFonts w:ascii="Calibri" w:hAnsi="Calibri"/>
          <w:w w:val="105"/>
          <w:position w:val="10"/>
          <w:sz w:val="14"/>
        </w:rPr>
        <w:t>2 </w:t>
      </w:r>
      <w:r>
        <w:rPr>
          <w:w w:val="105"/>
          <w:sz w:val="21"/>
        </w:rPr>
        <w:t>A. Coustenis, T. Encrenaz, B. Bézard, B. Bjoraker, G. Graner, G. Dang-Nhu, E. Arié, </w:t>
      </w:r>
      <w:r>
        <w:rPr>
          <w:i/>
          <w:w w:val="105"/>
          <w:sz w:val="21"/>
        </w:rPr>
        <w:t>Icarus</w:t>
      </w:r>
      <w:r>
        <w:rPr>
          <w:w w:val="105"/>
          <w:sz w:val="21"/>
        </w:rPr>
        <w:t>, </w:t>
      </w:r>
      <w:r>
        <w:rPr>
          <w:b/>
          <w:w w:val="105"/>
          <w:sz w:val="21"/>
        </w:rPr>
        <w:t>1993</w:t>
      </w:r>
      <w:r>
        <w:rPr>
          <w:w w:val="105"/>
          <w:sz w:val="21"/>
        </w:rPr>
        <w:t>,</w:t>
      </w:r>
    </w:p>
    <w:p>
      <w:pPr>
        <w:spacing w:line="229" w:lineRule="exact" w:before="23"/>
        <w:ind w:left="121" w:right="0" w:firstLine="0"/>
        <w:jc w:val="both"/>
        <w:rPr>
          <w:sz w:val="21"/>
        </w:rPr>
      </w:pPr>
      <w:r>
        <w:rPr>
          <w:i/>
          <w:w w:val="105"/>
          <w:sz w:val="21"/>
        </w:rPr>
        <w:t>102</w:t>
      </w:r>
      <w:r>
        <w:rPr>
          <w:w w:val="105"/>
          <w:sz w:val="21"/>
        </w:rPr>
        <w:t>, 240-260</w:t>
      </w:r>
    </w:p>
    <w:p>
      <w:pPr>
        <w:spacing w:line="267" w:lineRule="exact" w:before="0"/>
        <w:ind w:left="121" w:right="0" w:firstLine="0"/>
        <w:jc w:val="both"/>
        <w:rPr>
          <w:sz w:val="21"/>
        </w:rPr>
      </w:pPr>
      <w:r>
        <w:rPr>
          <w:rFonts w:ascii="Calibri"/>
          <w:w w:val="105"/>
          <w:position w:val="10"/>
          <w:sz w:val="14"/>
        </w:rPr>
        <w:t>3 </w:t>
      </w:r>
      <w:r>
        <w:rPr>
          <w:w w:val="105"/>
          <w:sz w:val="21"/>
        </w:rPr>
        <w:t>V. Vuitton, R. V. Yelle, V. G. Anicich, </w:t>
      </w:r>
      <w:r>
        <w:rPr>
          <w:i/>
          <w:w w:val="105"/>
          <w:sz w:val="21"/>
        </w:rPr>
        <w:t>Astrophys. J</w:t>
      </w:r>
      <w:r>
        <w:rPr>
          <w:w w:val="105"/>
          <w:sz w:val="21"/>
        </w:rPr>
        <w:t>. </w:t>
      </w:r>
      <w:r>
        <w:rPr>
          <w:b/>
          <w:w w:val="105"/>
          <w:sz w:val="21"/>
        </w:rPr>
        <w:t>2006</w:t>
      </w:r>
      <w:r>
        <w:rPr>
          <w:w w:val="105"/>
          <w:sz w:val="21"/>
        </w:rPr>
        <w:t>, </w:t>
      </w:r>
      <w:r>
        <w:rPr>
          <w:i/>
          <w:w w:val="105"/>
          <w:sz w:val="21"/>
        </w:rPr>
        <w:t>647</w:t>
      </w:r>
      <w:r>
        <w:rPr>
          <w:w w:val="105"/>
          <w:sz w:val="21"/>
        </w:rPr>
        <w:t>, L175-L178</w:t>
      </w:r>
    </w:p>
    <w:p>
      <w:pPr>
        <w:spacing w:line="273" w:lineRule="exact" w:before="28"/>
        <w:ind w:left="121" w:right="0" w:firstLine="0"/>
        <w:jc w:val="both"/>
        <w:rPr>
          <w:sz w:val="21"/>
        </w:rPr>
      </w:pPr>
      <w:r>
        <w:rPr>
          <w:rFonts w:ascii="Calibri"/>
          <w:w w:val="105"/>
          <w:position w:val="10"/>
          <w:sz w:val="14"/>
        </w:rPr>
        <w:t>4 </w:t>
      </w:r>
      <w:r>
        <w:rPr>
          <w:w w:val="105"/>
          <w:sz w:val="21"/>
        </w:rPr>
        <w:t>Y. Trolez, J.-C. Guillemin, </w:t>
      </w:r>
      <w:r>
        <w:rPr>
          <w:i/>
          <w:w w:val="105"/>
          <w:sz w:val="21"/>
        </w:rPr>
        <w:t>Angew. Chem. Int. Ed. </w:t>
      </w:r>
      <w:r>
        <w:rPr>
          <w:b/>
          <w:w w:val="105"/>
          <w:sz w:val="21"/>
        </w:rPr>
        <w:t>2005</w:t>
      </w:r>
      <w:r>
        <w:rPr>
          <w:w w:val="105"/>
          <w:sz w:val="21"/>
        </w:rPr>
        <w:t>, </w:t>
      </w:r>
      <w:r>
        <w:rPr>
          <w:i/>
          <w:w w:val="105"/>
          <w:sz w:val="21"/>
        </w:rPr>
        <w:t>44</w:t>
      </w:r>
      <w:r>
        <w:rPr>
          <w:w w:val="105"/>
          <w:sz w:val="21"/>
        </w:rPr>
        <w:t>, 7224-7226</w:t>
      </w:r>
    </w:p>
    <w:p>
      <w:pPr>
        <w:spacing w:line="252" w:lineRule="auto" w:before="0"/>
        <w:ind w:left="121" w:right="108" w:firstLine="0"/>
        <w:jc w:val="both"/>
        <w:rPr>
          <w:sz w:val="21"/>
        </w:rPr>
      </w:pPr>
      <w:r>
        <w:rPr>
          <w:w w:val="105"/>
          <w:position w:val="10"/>
          <w:sz w:val="14"/>
        </w:rPr>
        <w:t>5 </w:t>
      </w:r>
      <w:r>
        <w:rPr>
          <w:w w:val="105"/>
          <w:sz w:val="21"/>
        </w:rPr>
        <w:t>a) N. Kerisit, L. Toupet, Y. Trolez, J.-C. Guillemin, </w:t>
      </w:r>
      <w:r>
        <w:rPr>
          <w:i/>
          <w:w w:val="105"/>
          <w:sz w:val="21"/>
        </w:rPr>
        <w:t>Chem. Eur. J. </w:t>
      </w:r>
      <w:r>
        <w:rPr>
          <w:b/>
          <w:w w:val="105"/>
          <w:sz w:val="21"/>
        </w:rPr>
        <w:t>2013</w:t>
      </w:r>
      <w:r>
        <w:rPr>
          <w:w w:val="105"/>
          <w:sz w:val="21"/>
        </w:rPr>
        <w:t>, </w:t>
      </w:r>
      <w:r>
        <w:rPr>
          <w:i/>
          <w:w w:val="105"/>
          <w:sz w:val="21"/>
        </w:rPr>
        <w:t>19, </w:t>
      </w:r>
      <w:r>
        <w:rPr>
          <w:w w:val="105"/>
          <w:sz w:val="21"/>
        </w:rPr>
        <w:t>17683-17686; b) N. Kerisit, C. Rouxel, S. Colombel-Rouen, L. Toupet, J.-C. Guillemin, Y. Trolez, </w:t>
      </w:r>
      <w:r>
        <w:rPr>
          <w:i/>
          <w:w w:val="105"/>
          <w:sz w:val="21"/>
        </w:rPr>
        <w:t>J. Org. Chem. </w:t>
      </w:r>
      <w:r>
        <w:rPr>
          <w:b/>
          <w:w w:val="105"/>
          <w:sz w:val="21"/>
        </w:rPr>
        <w:t>2016</w:t>
      </w:r>
      <w:r>
        <w:rPr>
          <w:w w:val="105"/>
          <w:sz w:val="21"/>
        </w:rPr>
        <w:t>, </w:t>
      </w:r>
      <w:r>
        <w:rPr>
          <w:i/>
          <w:w w:val="105"/>
          <w:sz w:val="21"/>
        </w:rPr>
        <w:t>81</w:t>
      </w:r>
      <w:r>
        <w:rPr>
          <w:w w:val="105"/>
          <w:sz w:val="21"/>
        </w:rPr>
        <w:t>, 3560−3567</w:t>
      </w:r>
    </w:p>
    <w:p>
      <w:pPr>
        <w:spacing w:line="238" w:lineRule="exact" w:before="6"/>
        <w:ind w:left="121" w:right="0" w:firstLine="0"/>
        <w:jc w:val="both"/>
        <w:rPr>
          <w:sz w:val="21"/>
        </w:rPr>
      </w:pPr>
      <w:r>
        <w:rPr>
          <w:w w:val="105"/>
          <w:position w:val="10"/>
          <w:sz w:val="14"/>
        </w:rPr>
        <w:t>6 </w:t>
      </w:r>
      <w:r>
        <w:rPr>
          <w:w w:val="105"/>
          <w:sz w:val="21"/>
        </w:rPr>
        <w:t>N. Kerisit, L. Toupet, P. Larini, L. Perrin, J.-C. Guillemin, Y. Trolez, </w:t>
      </w:r>
      <w:r>
        <w:rPr>
          <w:i/>
          <w:w w:val="105"/>
          <w:sz w:val="21"/>
        </w:rPr>
        <w:t>Chem. Eur. J. </w:t>
      </w:r>
      <w:r>
        <w:rPr>
          <w:b/>
          <w:w w:val="105"/>
          <w:sz w:val="21"/>
        </w:rPr>
        <w:t>2015</w:t>
      </w:r>
      <w:r>
        <w:rPr>
          <w:w w:val="105"/>
          <w:sz w:val="21"/>
        </w:rPr>
        <w:t>, </w:t>
      </w:r>
      <w:r>
        <w:rPr>
          <w:i/>
          <w:w w:val="105"/>
          <w:sz w:val="21"/>
        </w:rPr>
        <w:t>21</w:t>
      </w:r>
      <w:r>
        <w:rPr>
          <w:w w:val="105"/>
          <w:sz w:val="21"/>
        </w:rPr>
        <w:t>, 6042-</w:t>
      </w:r>
    </w:p>
    <w:p>
      <w:pPr>
        <w:spacing w:before="12"/>
        <w:ind w:left="121" w:right="0" w:firstLine="0"/>
        <w:jc w:val="both"/>
        <w:rPr>
          <w:sz w:val="21"/>
        </w:rPr>
      </w:pPr>
      <w:r>
        <w:rPr>
          <w:w w:val="105"/>
          <w:sz w:val="21"/>
        </w:rPr>
        <w:t>6047</w:t>
      </w:r>
    </w:p>
    <w:sectPr>
      <w:pgSz w:w="11900" w:h="16840"/>
      <w:pgMar w:header="710" w:footer="0" w:top="1780" w:bottom="28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68432439">
          <wp:simplePos x="0" y="0"/>
          <wp:positionH relativeFrom="page">
            <wp:posOffset>1857373</wp:posOffset>
          </wp:positionH>
          <wp:positionV relativeFrom="page">
            <wp:posOffset>450848</wp:posOffset>
          </wp:positionV>
          <wp:extent cx="3841750" cy="689237"/>
          <wp:effectExtent l="0" t="0" r="0" b="0"/>
          <wp:wrapNone/>
          <wp:docPr id="1" name="image1.jpeg" descr=""/>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3841750" cy="689237"/>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01"/>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hyperlink" Target="mailto:yann.trolez@ensc-renne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2017-09-21T14:17:05Z</dcterms:created>
  <dcterms:modified xsi:type="dcterms:W3CDTF">2017-09-21T14:17:05Z</dcterms:modified>
</cp:coreProperties>
</file>