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B58" w:rsidRPr="00523A27" w:rsidRDefault="00775B58" w:rsidP="00523A27">
      <w:pPr>
        <w:pStyle w:val="Heading1"/>
        <w:keepNext w:val="0"/>
        <w:keepLines w:val="0"/>
        <w:widowControl w:val="0"/>
        <w:bidi w:val="0"/>
        <w:spacing w:before="170" w:line="400" w:lineRule="exact"/>
        <w:rPr>
          <w:rFonts w:ascii="Minion Pro" w:eastAsia="Minion Pro" w:hAnsi="Minion Pro" w:cs="Minion Pro"/>
          <w:color w:val="337AB7"/>
          <w:sz w:val="36"/>
          <w:szCs w:val="36"/>
          <w:lang w:bidi="ar-SA"/>
        </w:rPr>
      </w:pPr>
      <w:r w:rsidRPr="00523A27">
        <w:rPr>
          <w:rFonts w:ascii="Minion Pro" w:eastAsia="Minion Pro" w:hAnsi="Minion Pro" w:cs="Minion Pro"/>
          <w:color w:val="337AB7"/>
          <w:sz w:val="36"/>
          <w:szCs w:val="36"/>
          <w:lang w:bidi="ar-SA"/>
        </w:rPr>
        <w:t>Common risk factors between polycystic ovary syndrome and Alzheimer's disease</w:t>
      </w:r>
    </w:p>
    <w:p w:rsidR="00523A27" w:rsidRDefault="00523A27" w:rsidP="00C86B11">
      <w:pPr>
        <w:bidi w:val="0"/>
        <w:rPr>
          <w:rFonts w:ascii="Arial" w:eastAsia="Tw Cen MT" w:hAnsi="Tw Cen MT" w:cs="Tw Cen MT"/>
          <w:sz w:val="18"/>
          <w:szCs w:val="18"/>
          <w:lang w:bidi="ar-SA"/>
        </w:rPr>
      </w:pPr>
    </w:p>
    <w:p w:rsidR="00C86B11" w:rsidRPr="00523A27" w:rsidRDefault="00C86B11" w:rsidP="00523A27">
      <w:pPr>
        <w:bidi w:val="0"/>
        <w:rPr>
          <w:rFonts w:ascii="Arial" w:eastAsia="Tw Cen MT" w:hAnsi="Tw Cen MT" w:cs="Tw Cen MT"/>
          <w:sz w:val="18"/>
          <w:szCs w:val="18"/>
          <w:lang w:bidi="ar-SA"/>
        </w:rPr>
      </w:pPr>
      <w:r w:rsidRPr="00523A27">
        <w:rPr>
          <w:rFonts w:ascii="Arial" w:eastAsia="Tw Cen MT" w:hAnsi="Tw Cen MT" w:cs="Tw Cen MT"/>
          <w:sz w:val="18"/>
          <w:szCs w:val="18"/>
          <w:lang w:bidi="ar-SA"/>
        </w:rPr>
        <w:t xml:space="preserve">Dr. </w:t>
      </w:r>
      <w:proofErr w:type="spellStart"/>
      <w:r w:rsidRPr="00523A27">
        <w:rPr>
          <w:rFonts w:ascii="Arial" w:eastAsia="Tw Cen MT" w:hAnsi="Tw Cen MT" w:cs="Tw Cen MT"/>
          <w:sz w:val="18"/>
          <w:szCs w:val="18"/>
          <w:lang w:bidi="ar-SA"/>
        </w:rPr>
        <w:t>Nahid</w:t>
      </w:r>
      <w:proofErr w:type="spellEnd"/>
      <w:r w:rsidRPr="00523A27">
        <w:rPr>
          <w:rFonts w:ascii="Arial" w:eastAsia="Tw Cen MT" w:hAnsi="Tw Cen MT" w:cs="Tw Cen MT"/>
          <w:sz w:val="18"/>
          <w:szCs w:val="18"/>
          <w:lang w:bidi="ar-SA"/>
        </w:rPr>
        <w:t xml:space="preserve"> </w:t>
      </w:r>
      <w:proofErr w:type="spellStart"/>
      <w:r w:rsidRPr="00523A27">
        <w:rPr>
          <w:rFonts w:ascii="Arial" w:eastAsia="Tw Cen MT" w:hAnsi="Tw Cen MT" w:cs="Tw Cen MT"/>
          <w:sz w:val="18"/>
          <w:szCs w:val="18"/>
          <w:lang w:bidi="ar-SA"/>
        </w:rPr>
        <w:t>Sarahian</w:t>
      </w:r>
      <w:proofErr w:type="spellEnd"/>
      <w:r w:rsidRPr="00523A27">
        <w:rPr>
          <w:rFonts w:ascii="Arial" w:eastAsia="Tw Cen MT" w:hAnsi="Tw Cen MT" w:cs="Tw Cen MT"/>
          <w:sz w:val="18"/>
          <w:szCs w:val="18"/>
          <w:lang w:bidi="ar-SA"/>
        </w:rPr>
        <w:t xml:space="preserve">, </w:t>
      </w:r>
      <w:r w:rsidR="00523A27" w:rsidRPr="00523A27">
        <w:rPr>
          <w:rFonts w:ascii="Arial" w:eastAsia="Tw Cen MT" w:hAnsi="Tw Cen MT" w:cs="Tw Cen MT"/>
          <w:sz w:val="18"/>
          <w:szCs w:val="18"/>
          <w:lang w:bidi="ar-SA"/>
        </w:rPr>
        <w:t xml:space="preserve">PhD, </w:t>
      </w:r>
      <w:r w:rsidRPr="00523A27">
        <w:rPr>
          <w:rFonts w:ascii="Arial" w:eastAsia="Tw Cen MT" w:hAnsi="Tw Cen MT" w:cs="Tw Cen MT"/>
          <w:sz w:val="18"/>
          <w:szCs w:val="18"/>
          <w:lang w:bidi="ar-SA"/>
        </w:rPr>
        <w:t xml:space="preserve">Neuroscience Research Center, </w:t>
      </w:r>
      <w:proofErr w:type="spellStart"/>
      <w:r w:rsidRPr="00523A27">
        <w:rPr>
          <w:rFonts w:ascii="Arial" w:eastAsia="Tw Cen MT" w:hAnsi="Tw Cen MT" w:cs="Tw Cen MT"/>
          <w:sz w:val="18"/>
          <w:szCs w:val="18"/>
          <w:lang w:bidi="ar-SA"/>
        </w:rPr>
        <w:t>Shahid</w:t>
      </w:r>
      <w:proofErr w:type="spellEnd"/>
      <w:r w:rsidRPr="00523A27">
        <w:rPr>
          <w:rFonts w:ascii="Arial" w:eastAsia="Tw Cen MT" w:hAnsi="Tw Cen MT" w:cs="Tw Cen MT"/>
          <w:sz w:val="18"/>
          <w:szCs w:val="18"/>
          <w:lang w:bidi="ar-SA"/>
        </w:rPr>
        <w:t xml:space="preserve"> </w:t>
      </w:r>
      <w:proofErr w:type="spellStart"/>
      <w:r w:rsidRPr="00523A27">
        <w:rPr>
          <w:rFonts w:ascii="Arial" w:eastAsia="Tw Cen MT" w:hAnsi="Tw Cen MT" w:cs="Tw Cen MT"/>
          <w:sz w:val="18"/>
          <w:szCs w:val="18"/>
          <w:lang w:bidi="ar-SA"/>
        </w:rPr>
        <w:t>Beheshti</w:t>
      </w:r>
      <w:proofErr w:type="spellEnd"/>
      <w:r w:rsidRPr="00523A27">
        <w:rPr>
          <w:rFonts w:ascii="Arial" w:eastAsia="Tw Cen MT" w:hAnsi="Tw Cen MT" w:cs="Tw Cen MT"/>
          <w:sz w:val="18"/>
          <w:szCs w:val="18"/>
          <w:lang w:bidi="ar-SA"/>
        </w:rPr>
        <w:t xml:space="preserve"> University of Medical Sciences, Tehran, Iran. Email: </w:t>
      </w:r>
      <w:hyperlink r:id="rId5" w:tgtFrame="_blank" w:history="1">
        <w:r w:rsidRPr="00523A27">
          <w:rPr>
            <w:rFonts w:ascii="Arial" w:eastAsia="Tw Cen MT" w:hAnsi="Tw Cen MT" w:cs="Tw Cen MT"/>
            <w:sz w:val="18"/>
            <w:szCs w:val="18"/>
            <w:lang w:bidi="ar-SA"/>
          </w:rPr>
          <w:t>sarahiannahid@yahoo.com</w:t>
        </w:r>
      </w:hyperlink>
      <w:r w:rsidRPr="00523A27">
        <w:rPr>
          <w:rFonts w:ascii="Arial" w:eastAsia="Tw Cen MT" w:hAnsi="Tw Cen MT" w:cs="Tw Cen MT"/>
          <w:sz w:val="18"/>
          <w:szCs w:val="18"/>
          <w:lang w:bidi="ar-SA"/>
        </w:rPr>
        <w:t>, Tel: +98 9126380524</w:t>
      </w:r>
    </w:p>
    <w:p w:rsidR="00C86B11" w:rsidRPr="00523A27" w:rsidRDefault="00C86B11" w:rsidP="00C86B11">
      <w:pPr>
        <w:bidi w:val="0"/>
        <w:rPr>
          <w:rFonts w:ascii="Arial" w:eastAsia="Tw Cen MT" w:hAnsi="Tw Cen MT" w:cs="Tw Cen MT"/>
          <w:sz w:val="18"/>
          <w:szCs w:val="18"/>
          <w:lang w:bidi="ar-SA"/>
        </w:rPr>
      </w:pPr>
      <w:r w:rsidRPr="00523A27">
        <w:rPr>
          <w:rFonts w:ascii="Arial" w:eastAsia="Tw Cen MT" w:hAnsi="Tw Cen MT" w:cs="Tw Cen MT"/>
          <w:sz w:val="18"/>
          <w:szCs w:val="18"/>
          <w:lang w:bidi="ar-SA"/>
        </w:rPr>
        <w:t>Dr. Narges Eskandari Roozbahani,</w:t>
      </w:r>
      <w:r w:rsidR="00523A27" w:rsidRPr="00523A27">
        <w:rPr>
          <w:rFonts w:ascii="Arial" w:eastAsia="Tw Cen MT" w:hAnsi="Tw Cen MT" w:cs="Tw Cen MT"/>
          <w:sz w:val="18"/>
          <w:szCs w:val="18"/>
          <w:lang w:bidi="ar-SA"/>
        </w:rPr>
        <w:t xml:space="preserve"> PhD,</w:t>
      </w:r>
      <w:r w:rsidRPr="00523A27">
        <w:rPr>
          <w:rFonts w:ascii="Arial" w:eastAsia="Tw Cen MT" w:hAnsi="Tw Cen MT" w:cs="Tw Cen MT"/>
          <w:sz w:val="18"/>
          <w:szCs w:val="18"/>
          <w:lang w:bidi="ar-SA"/>
        </w:rPr>
        <w:t xml:space="preserve"> Clinical Research Development Center, Imam Reza Hospital, Kermanshah University of Medical Sciences, Kermanshah, Iran. Email:neskandari32@gmail.com, Tel</w:t>
      </w:r>
      <w:r w:rsidR="00523A27" w:rsidRPr="00523A27">
        <w:rPr>
          <w:rFonts w:ascii="Arial" w:eastAsia="Tw Cen MT" w:hAnsi="Tw Cen MT" w:cs="Tw Cen MT"/>
          <w:sz w:val="18"/>
          <w:szCs w:val="18"/>
          <w:lang w:bidi="ar-SA"/>
        </w:rPr>
        <w:t>: +</w:t>
      </w:r>
      <w:r w:rsidRPr="00523A27">
        <w:rPr>
          <w:rFonts w:ascii="Arial" w:eastAsia="Tw Cen MT" w:hAnsi="Tw Cen MT" w:cs="Tw Cen MT"/>
          <w:sz w:val="18"/>
          <w:szCs w:val="18"/>
          <w:lang w:bidi="ar-SA"/>
        </w:rPr>
        <w:t>989034844627</w:t>
      </w:r>
    </w:p>
    <w:p w:rsidR="00523A27" w:rsidRDefault="00523A27" w:rsidP="00523A27">
      <w:pPr>
        <w:pStyle w:val="Heading3"/>
        <w:spacing w:before="147"/>
        <w:jc w:val="both"/>
        <w:rPr>
          <w:color w:val="BF5A14"/>
        </w:rPr>
        <w:sectPr w:rsidR="00523A27" w:rsidSect="00DB4DAB">
          <w:pgSz w:w="11906" w:h="16838"/>
          <w:pgMar w:top="1440" w:right="1440" w:bottom="1440" w:left="1440" w:header="708" w:footer="708" w:gutter="0"/>
          <w:cols w:space="708"/>
          <w:bidi/>
          <w:rtlGutter/>
          <w:docGrid w:linePitch="360"/>
        </w:sectPr>
      </w:pPr>
    </w:p>
    <w:p w:rsidR="00C86B11" w:rsidRPr="00523A27" w:rsidRDefault="00C86B11" w:rsidP="00523A27">
      <w:pPr>
        <w:pStyle w:val="Heading3"/>
        <w:spacing w:before="147" w:line="276" w:lineRule="auto"/>
        <w:rPr>
          <w:color w:val="BF5A14"/>
        </w:rPr>
      </w:pPr>
      <w:r w:rsidRPr="00523A27">
        <w:rPr>
          <w:color w:val="BF5A14"/>
        </w:rPr>
        <w:lastRenderedPageBreak/>
        <w:t xml:space="preserve">Abstract </w:t>
      </w:r>
    </w:p>
    <w:p w:rsidR="00775B58" w:rsidRDefault="00775B58" w:rsidP="00523A27">
      <w:pPr>
        <w:bidi w:val="0"/>
        <w:spacing w:after="160"/>
        <w:jc w:val="both"/>
        <w:rPr>
          <w:rFonts w:ascii="Tw Cen MT" w:eastAsia="Tw Cen MT" w:hAnsi="Tw Cen MT" w:cs="Tw Cen MT"/>
          <w:sz w:val="18"/>
          <w:szCs w:val="18"/>
          <w:lang w:bidi="ar-SA"/>
        </w:rPr>
      </w:pPr>
      <w:r w:rsidRPr="00775B58">
        <w:rPr>
          <w:rFonts w:ascii="Tw Cen MT" w:eastAsia="Tw Cen MT" w:hAnsi="Tw Cen MT" w:cs="Tw Cen MT"/>
          <w:sz w:val="18"/>
          <w:szCs w:val="18"/>
          <w:lang w:bidi="ar-SA"/>
        </w:rPr>
        <w:t>Alzheimer's disease (AD)</w:t>
      </w:r>
      <w:r w:rsidRPr="00775B58">
        <w:rPr>
          <w:rFonts w:ascii="Tw Cen MT" w:eastAsia="Tw Cen MT" w:hAnsi="Tw Cen MT" w:cs="Tw Cen MT" w:hint="cs"/>
          <w:sz w:val="18"/>
          <w:szCs w:val="18"/>
          <w:rtl/>
          <w:lang w:bidi="ar-SA"/>
        </w:rPr>
        <w:t xml:space="preserve"> </w:t>
      </w:r>
      <w:r w:rsidRPr="00775B58">
        <w:rPr>
          <w:rFonts w:ascii="Tw Cen MT" w:eastAsia="Tw Cen MT" w:hAnsi="Tw Cen MT" w:cs="Tw Cen MT"/>
          <w:sz w:val="18"/>
          <w:szCs w:val="18"/>
          <w:lang w:bidi="ar-SA"/>
        </w:rPr>
        <w:t xml:space="preserve">is the most typical progressive neurodegenerative disorder of the brain, and recent studies suggest a relationship between endocrinal dysregulation and neuronal loss during AD pathology. One of the most common endocrine and metabolic disorders in premenopausal women is polycystic ovary syndrome (PCOS), characterized by </w:t>
      </w:r>
      <w:proofErr w:type="spellStart"/>
      <w:r w:rsidRPr="00775B58">
        <w:rPr>
          <w:rFonts w:ascii="Tw Cen MT" w:eastAsia="Tw Cen MT" w:hAnsi="Tw Cen MT" w:cs="Tw Cen MT"/>
          <w:sz w:val="18"/>
          <w:szCs w:val="18"/>
          <w:lang w:bidi="ar-SA"/>
        </w:rPr>
        <w:t>hyperandrogenism</w:t>
      </w:r>
      <w:proofErr w:type="spellEnd"/>
      <w:r w:rsidRPr="00775B58">
        <w:rPr>
          <w:rFonts w:ascii="Tw Cen MT" w:eastAsia="Tw Cen MT" w:hAnsi="Tw Cen MT" w:cs="Tw Cen MT"/>
          <w:sz w:val="18"/>
          <w:szCs w:val="18"/>
          <w:lang w:bidi="ar-SA"/>
        </w:rPr>
        <w:t xml:space="preserve">, chronic anovulation, and/or ultrasound evidence of small ovarian cysts. Obesity and insulin resistance are also the main factors influencing the clinical manifestations of this syndrome. Knowing the common risk factors for Alzheimer's and PCOS may eliminate them and prevent neurodegenerative Alzheimer's disease in the future. </w:t>
      </w:r>
      <w:proofErr w:type="spellStart"/>
      <w:r w:rsidRPr="00775B58">
        <w:rPr>
          <w:rFonts w:ascii="Tw Cen MT" w:eastAsia="Tw Cen MT" w:hAnsi="Tw Cen MT" w:cs="Tw Cen MT"/>
          <w:sz w:val="18"/>
          <w:szCs w:val="18"/>
          <w:lang w:bidi="ar-SA"/>
        </w:rPr>
        <w:t>Neurosteroids</w:t>
      </w:r>
      <w:proofErr w:type="spellEnd"/>
      <w:r w:rsidRPr="00775B58">
        <w:rPr>
          <w:rFonts w:ascii="Tw Cen MT" w:eastAsia="Tw Cen MT" w:hAnsi="Tw Cen MT" w:cs="Tw Cen MT"/>
          <w:sz w:val="18"/>
          <w:szCs w:val="18"/>
          <w:lang w:bidi="ar-SA"/>
        </w:rPr>
        <w:t xml:space="preserve"> and sex steroids have been suggested as one reason for reducing the pathology of AD. Alzheimer's is more common in women than men, and estrogen depletion is generally associated with an increased risk of AD. The age-related decrease in brain levels of testosterone in men and 17β-estradiol (E2) in women during menopause has been associated with a greater risk of developing AD. Because Alzheimer's patients have risk factors similar to those of PCOS, such as insulin resistance, vitamin D deficiency, sexual hormonal changes, inflammation, and sleep disorders, it may be hypothesized that PCOS may increase the risk of Alzheimer's disease. In a study we summarized the possible pathways that may explain the association between Alzheimer's and PCOS. According to our research, the factors involved in Alzheimer's and PCOS disorders may share some common risk factors. In patients with PCOS, increased LH to FSH ratio, decreased vitamin D, insulin resistance, and obesity are some of the most important factors that may increase the risk of Alzheimer's disease.</w:t>
      </w:r>
    </w:p>
    <w:p w:rsidR="006379C1" w:rsidRDefault="006379C1" w:rsidP="006379C1">
      <w:pPr>
        <w:bidi w:val="0"/>
        <w:spacing w:after="160"/>
        <w:jc w:val="both"/>
        <w:rPr>
          <w:rFonts w:ascii="Tw Cen MT" w:eastAsia="Tw Cen MT" w:hAnsi="Tw Cen MT" w:cs="Tw Cen MT"/>
          <w:sz w:val="18"/>
          <w:szCs w:val="18"/>
          <w:lang w:bidi="ar-SA"/>
        </w:rPr>
      </w:pPr>
    </w:p>
    <w:p w:rsidR="006379C1" w:rsidRPr="00C86B11" w:rsidRDefault="006379C1" w:rsidP="006379C1">
      <w:pPr>
        <w:bidi w:val="0"/>
        <w:spacing w:after="160"/>
        <w:jc w:val="both"/>
        <w:rPr>
          <w:rFonts w:ascii="Tw Cen MT" w:eastAsia="Tw Cen MT" w:hAnsi="Tw Cen MT" w:cs="Tw Cen MT"/>
          <w:sz w:val="18"/>
          <w:szCs w:val="18"/>
          <w:lang w:bidi="ar-SA"/>
        </w:rPr>
      </w:pPr>
      <w:bookmarkStart w:id="0" w:name="_GoBack"/>
      <w:bookmarkEnd w:id="0"/>
    </w:p>
    <w:p w:rsidR="00523A27" w:rsidRPr="00523A27" w:rsidRDefault="00523A27" w:rsidP="00523A27">
      <w:pPr>
        <w:widowControl w:val="0"/>
        <w:bidi w:val="0"/>
        <w:spacing w:after="0"/>
        <w:rPr>
          <w:rFonts w:ascii="Arial" w:eastAsia="Tw Cen MT" w:hAnsi="Tw Cen MT" w:cs="Tw Cen MT"/>
          <w:b/>
          <w:sz w:val="20"/>
          <w:lang w:bidi="ar-SA"/>
        </w:rPr>
      </w:pPr>
      <w:r w:rsidRPr="00523A27">
        <w:rPr>
          <w:rFonts w:ascii="Arial" w:eastAsia="Tw Cen MT" w:hAnsi="Tw Cen MT" w:cs="Tw Cen MT"/>
          <w:b/>
          <w:color w:val="BF5A14"/>
          <w:sz w:val="20"/>
          <w:lang w:bidi="ar-SA"/>
        </w:rPr>
        <w:lastRenderedPageBreak/>
        <w:t>Recent Publications (minimum 5)</w:t>
      </w:r>
    </w:p>
    <w:p w:rsidR="00523A27" w:rsidRPr="006379C1" w:rsidRDefault="00165AF4" w:rsidP="00523A27">
      <w:pPr>
        <w:pStyle w:val="EndNoteBibliography"/>
        <w:spacing w:after="0" w:line="276" w:lineRule="auto"/>
        <w:rPr>
          <w:rFonts w:ascii="Tw Cen MT" w:eastAsia="Tw Cen MT" w:hAnsi="Tw Cen MT" w:cs="Tw Cen MT"/>
          <w:noProof w:val="0"/>
          <w:sz w:val="18"/>
          <w:szCs w:val="18"/>
        </w:rPr>
      </w:pPr>
      <w:r w:rsidRPr="006379C1">
        <w:rPr>
          <w:rFonts w:ascii="Tw Cen MT" w:eastAsia="Tw Cen MT" w:hAnsi="Tw Cen MT" w:cs="Tw Cen MT"/>
          <w:noProof w:val="0"/>
          <w:sz w:val="18"/>
          <w:szCs w:val="18"/>
        </w:rPr>
        <w:t>1.</w:t>
      </w:r>
      <w:r w:rsidR="00523A27" w:rsidRPr="006379C1">
        <w:rPr>
          <w:rFonts w:ascii="Tw Cen MT" w:eastAsia="Tw Cen MT" w:hAnsi="Tw Cen MT" w:cs="Tw Cen MT"/>
          <w:noProof w:val="0"/>
          <w:sz w:val="18"/>
          <w:szCs w:val="18"/>
        </w:rPr>
        <w:t xml:space="preserve"> Sarahian N, Noroozzadeh M, Saei Ghare Naz M, Eskandari-Roozbahani N, Mahboobifard F, Ramezani Tehrani F. Is there any association between migraine headache and polycystic ovary syndrome (PCOS)? A review article. Molecular biology reports. 2021 Oct 15:1-9.</w:t>
      </w:r>
    </w:p>
    <w:p w:rsidR="00523A27" w:rsidRPr="006379C1" w:rsidRDefault="00523A27" w:rsidP="00523A27">
      <w:pPr>
        <w:pStyle w:val="EndNoteBibliography"/>
        <w:spacing w:after="0" w:line="276" w:lineRule="auto"/>
        <w:rPr>
          <w:rFonts w:ascii="Tw Cen MT" w:eastAsia="Tw Cen MT" w:hAnsi="Tw Cen MT" w:cs="Tw Cen MT"/>
          <w:noProof w:val="0"/>
          <w:sz w:val="18"/>
          <w:szCs w:val="18"/>
        </w:rPr>
      </w:pPr>
      <w:r w:rsidRPr="006379C1">
        <w:rPr>
          <w:rFonts w:ascii="Tw Cen MT" w:eastAsia="Tw Cen MT" w:hAnsi="Tw Cen MT" w:cs="Tw Cen MT"/>
          <w:noProof w:val="0"/>
          <w:sz w:val="18"/>
          <w:szCs w:val="18"/>
        </w:rPr>
        <w:t>2. Taherianfard M, Riyahi M, Razavi M, Bavandi Z, Eskandari Roozbahani N, Namavari MM. The Cataleptic, Asymmetric, Analgesic, and Brain Biochemical Effects of Parkinson’s Disease can be Affected By Toxoplasma Gondii Infection. BioMed Research International. 2020 May 5;2020.</w:t>
      </w:r>
    </w:p>
    <w:p w:rsidR="00BD0610" w:rsidRPr="006379C1" w:rsidRDefault="00523A27" w:rsidP="00523A27">
      <w:pPr>
        <w:pStyle w:val="EndNoteBibliography"/>
        <w:spacing w:after="0" w:line="276" w:lineRule="auto"/>
        <w:rPr>
          <w:rFonts w:ascii="Tw Cen MT" w:eastAsia="Tw Cen MT" w:hAnsi="Tw Cen MT" w:cs="Tw Cen MT"/>
          <w:noProof w:val="0"/>
          <w:sz w:val="18"/>
          <w:szCs w:val="18"/>
        </w:rPr>
      </w:pPr>
      <w:r w:rsidRPr="006379C1">
        <w:rPr>
          <w:rFonts w:ascii="Tw Cen MT" w:eastAsia="Tw Cen MT" w:hAnsi="Tw Cen MT" w:cs="Tw Cen MT"/>
          <w:noProof w:val="0"/>
          <w:sz w:val="18"/>
          <w:szCs w:val="18"/>
        </w:rPr>
        <w:t xml:space="preserve">3. </w:t>
      </w:r>
      <w:r w:rsidR="00BD0610" w:rsidRPr="006379C1">
        <w:rPr>
          <w:rFonts w:ascii="Tw Cen MT" w:eastAsia="Tw Cen MT" w:hAnsi="Tw Cen MT" w:cs="Tw Cen MT"/>
          <w:noProof w:val="0"/>
          <w:sz w:val="18"/>
          <w:szCs w:val="18"/>
        </w:rPr>
        <w:t>Eskandari-Roozbahani N, Shomali T, Taherianfard M. Neuroprotective effect of Zataria Multiflora essential oil on rats with Alzheimer disease: A mechanistic study. Basic and Clinical Neuroscience. 2019 Jan;10(1):85.</w:t>
      </w:r>
    </w:p>
    <w:p w:rsidR="00BD0610" w:rsidRPr="006379C1" w:rsidRDefault="00BD0610" w:rsidP="00BD0610">
      <w:pPr>
        <w:pStyle w:val="EndNoteBibliography"/>
        <w:spacing w:after="0" w:line="276" w:lineRule="auto"/>
        <w:rPr>
          <w:rFonts w:ascii="Tw Cen MT" w:eastAsia="Tw Cen MT" w:hAnsi="Tw Cen MT" w:cs="Tw Cen MT"/>
          <w:noProof w:val="0"/>
          <w:sz w:val="18"/>
          <w:szCs w:val="18"/>
        </w:rPr>
      </w:pPr>
      <w:r w:rsidRPr="006379C1">
        <w:rPr>
          <w:rFonts w:ascii="Tw Cen MT" w:eastAsia="Tw Cen MT" w:hAnsi="Tw Cen MT" w:cs="Tw Cen MT"/>
          <w:noProof w:val="0"/>
          <w:sz w:val="18"/>
          <w:szCs w:val="18"/>
        </w:rPr>
        <w:t>4. Sarvazad H, Cahngaripour SH, Roozbahani NE, Izadi B. Evaluation of electrolyte status of sodium, potassium and magnesium, and fasting blood sugar at the initial admission of individuals with COVID-19 without underlying disease in Golestan Hospital, Kermanshah. New Microbes and New Infections. 2020 Nov 1;38:100807.</w:t>
      </w:r>
    </w:p>
    <w:p w:rsidR="00074720" w:rsidRPr="006379C1" w:rsidRDefault="00BD0610" w:rsidP="00BD0610">
      <w:pPr>
        <w:pStyle w:val="EndNoteBibliography"/>
        <w:spacing w:after="0" w:line="276" w:lineRule="auto"/>
        <w:rPr>
          <w:rFonts w:ascii="Tw Cen MT" w:eastAsia="Tw Cen MT" w:hAnsi="Tw Cen MT" w:cs="Tw Cen MT"/>
          <w:noProof w:val="0"/>
          <w:sz w:val="18"/>
          <w:szCs w:val="18"/>
        </w:rPr>
      </w:pPr>
      <w:r w:rsidRPr="006379C1">
        <w:rPr>
          <w:rFonts w:ascii="Tw Cen MT" w:eastAsia="Tw Cen MT" w:hAnsi="Tw Cen MT" w:cs="Tw Cen MT"/>
          <w:noProof w:val="0"/>
          <w:sz w:val="18"/>
          <w:szCs w:val="18"/>
        </w:rPr>
        <w:t xml:space="preserve">5. </w:t>
      </w:r>
      <w:r w:rsidR="00074720" w:rsidRPr="006379C1">
        <w:rPr>
          <w:rFonts w:ascii="Tw Cen MT" w:eastAsia="Tw Cen MT" w:hAnsi="Tw Cen MT" w:cs="Tw Cen MT"/>
          <w:noProof w:val="0"/>
          <w:sz w:val="18"/>
          <w:szCs w:val="18"/>
        </w:rPr>
        <w:t>Aznab M, Eskandari Roozbahani N, Moazen H. Value of influenza vaccines in cancer patients during the coronavirus (COVID-19) pandemic: a cross-sectional study. Supportive Care in Cancer. 2021 Nov;29(11):6225-31.</w:t>
      </w:r>
    </w:p>
    <w:p w:rsidR="00165AF4" w:rsidRPr="006379C1" w:rsidRDefault="00074720" w:rsidP="00074720">
      <w:pPr>
        <w:pStyle w:val="EndNoteBibliography"/>
        <w:spacing w:after="0" w:line="276" w:lineRule="auto"/>
        <w:rPr>
          <w:rFonts w:ascii="Tw Cen MT" w:eastAsia="Tw Cen MT" w:hAnsi="Tw Cen MT" w:cs="Tw Cen MT"/>
          <w:noProof w:val="0"/>
          <w:sz w:val="18"/>
          <w:szCs w:val="18"/>
        </w:rPr>
      </w:pPr>
      <w:r w:rsidRPr="006379C1">
        <w:rPr>
          <w:rFonts w:ascii="Tw Cen MT" w:eastAsia="Tw Cen MT" w:hAnsi="Tw Cen MT" w:cs="Tw Cen MT"/>
          <w:noProof w:val="0"/>
          <w:sz w:val="18"/>
          <w:szCs w:val="18"/>
        </w:rPr>
        <w:t>6. Fazeli M, Sarvazad H, Rahnejat N, Rostampour R, Eskandari-Roozbahani N. Investigation of potential antiviral natural products with an effect on HPV18 E6 protein by molecular docking method. Functional Foods in Health and Disease. 2021 Nov 12;11(11):586-603.</w:t>
      </w:r>
      <w:r w:rsidR="00165AF4" w:rsidRPr="006379C1">
        <w:rPr>
          <w:rFonts w:ascii="Tw Cen MT" w:eastAsia="Tw Cen MT" w:hAnsi="Tw Cen MT" w:cs="Tw Cen MT"/>
          <w:noProof w:val="0"/>
          <w:sz w:val="18"/>
          <w:szCs w:val="18"/>
        </w:rPr>
        <w:tab/>
      </w:r>
    </w:p>
    <w:p w:rsidR="00165AF4" w:rsidRPr="006379C1" w:rsidRDefault="00165AF4" w:rsidP="00523A27">
      <w:pPr>
        <w:bidi w:val="0"/>
        <w:spacing w:after="160"/>
        <w:rPr>
          <w:rFonts w:ascii="Tw Cen MT" w:eastAsia="Tw Cen MT" w:hAnsi="Tw Cen MT" w:cs="Tw Cen MT"/>
          <w:sz w:val="18"/>
          <w:szCs w:val="18"/>
          <w:lang w:bidi="ar-SA"/>
        </w:rPr>
      </w:pPr>
    </w:p>
    <w:p w:rsidR="00523A27" w:rsidRDefault="00523A27" w:rsidP="00523A27">
      <w:pPr>
        <w:widowControl w:val="0"/>
        <w:bidi w:val="0"/>
        <w:spacing w:after="0" w:line="240" w:lineRule="auto"/>
        <w:rPr>
          <w:rFonts w:ascii="Calibri" w:eastAsia="Tw Cen MT" w:hAnsi="Tw Cen MT" w:cs="Tw Cen MT"/>
          <w:b/>
          <w:sz w:val="32"/>
          <w:szCs w:val="32"/>
          <w:lang w:bidi="ar-SA"/>
        </w:rPr>
      </w:pPr>
      <w:r w:rsidRPr="00523A27">
        <w:rPr>
          <w:rFonts w:ascii="Calibri" w:eastAsia="Tw Cen MT" w:hAnsi="Tw Cen MT" w:cs="Tw Cen MT"/>
          <w:b/>
          <w:sz w:val="32"/>
          <w:szCs w:val="32"/>
          <w:lang w:bidi="ar-SA"/>
        </w:rPr>
        <w:t>Photograph</w:t>
      </w:r>
    </w:p>
    <w:p w:rsidR="006379C1" w:rsidRDefault="006379C1" w:rsidP="00523A27">
      <w:pPr>
        <w:widowControl w:val="0"/>
        <w:bidi w:val="0"/>
        <w:spacing w:after="0" w:line="240" w:lineRule="auto"/>
        <w:rPr>
          <w:rFonts w:ascii="Calibri" w:eastAsia="Tw Cen MT" w:hAnsi="Tw Cen MT" w:cs="Tw Cen MT"/>
          <w:b/>
          <w:sz w:val="32"/>
          <w:szCs w:val="32"/>
          <w:lang w:bidi="ar-SA"/>
        </w:rPr>
        <w:sectPr w:rsidR="006379C1" w:rsidSect="00523A27">
          <w:type w:val="continuous"/>
          <w:pgSz w:w="11906" w:h="16838" w:code="9"/>
          <w:pgMar w:top="1440" w:right="1440" w:bottom="1440" w:left="1440" w:header="709" w:footer="709" w:gutter="0"/>
          <w:cols w:num="2" w:space="708"/>
          <w:rtlGutter/>
          <w:docGrid w:linePitch="360"/>
        </w:sectPr>
      </w:pPr>
    </w:p>
    <w:p w:rsidR="00523A27" w:rsidRPr="00523A27" w:rsidRDefault="00523A27" w:rsidP="00523A27">
      <w:pPr>
        <w:widowControl w:val="0"/>
        <w:bidi w:val="0"/>
        <w:spacing w:after="0" w:line="240" w:lineRule="auto"/>
        <w:rPr>
          <w:rFonts w:ascii="Calibri" w:eastAsia="Tw Cen MT" w:hAnsi="Tw Cen MT" w:cs="Tw Cen MT"/>
          <w:b/>
          <w:sz w:val="32"/>
          <w:szCs w:val="32"/>
          <w:lang w:bidi="ar-SA"/>
        </w:rPr>
      </w:pPr>
      <w:r w:rsidRPr="00523A27">
        <w:rPr>
          <w:rFonts w:ascii="Calibri" w:eastAsia="Calibri" w:hAnsi="Calibri" w:cs="Arial"/>
          <w:noProof/>
        </w:rPr>
        <w:lastRenderedPageBreak/>
        <w:drawing>
          <wp:inline distT="0" distB="0" distL="0" distR="0" wp14:anchorId="59E32AF6" wp14:editId="7AF40079">
            <wp:extent cx="1952625" cy="1971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52625" cy="1971675"/>
                    </a:xfrm>
                    <a:prstGeom prst="rect">
                      <a:avLst/>
                    </a:prstGeom>
                    <a:noFill/>
                    <a:ln>
                      <a:noFill/>
                    </a:ln>
                  </pic:spPr>
                </pic:pic>
              </a:graphicData>
            </a:graphic>
          </wp:inline>
        </w:drawing>
      </w:r>
    </w:p>
    <w:p w:rsidR="00F95076" w:rsidRDefault="00523A27" w:rsidP="00523A27">
      <w:pPr>
        <w:bidi w:val="0"/>
        <w:rPr>
          <w:rFonts w:ascii="Arial" w:eastAsia="Tw Cen MT" w:hAnsi="Tw Cen MT" w:cs="Tw Cen MT"/>
          <w:b/>
          <w:color w:val="BF5A14"/>
          <w:sz w:val="20"/>
          <w:lang w:bidi="ar-SA"/>
        </w:rPr>
      </w:pPr>
      <w:r w:rsidRPr="00523A27">
        <w:rPr>
          <w:rFonts w:ascii="Arial" w:eastAsia="Tw Cen MT" w:hAnsi="Tw Cen MT" w:cs="Tw Cen MT"/>
          <w:b/>
          <w:color w:val="BF5A14"/>
          <w:sz w:val="20"/>
          <w:lang w:bidi="ar-SA"/>
        </w:rPr>
        <w:t>Biography (150 word limit)</w:t>
      </w:r>
    </w:p>
    <w:p w:rsidR="006379C1" w:rsidRPr="006379C1" w:rsidRDefault="006379C1" w:rsidP="006379C1">
      <w:pPr>
        <w:bidi w:val="0"/>
        <w:spacing w:after="160" w:line="240" w:lineRule="auto"/>
        <w:ind w:right="-539"/>
        <w:rPr>
          <w:rFonts w:ascii="Tw Cen MT" w:eastAsia="Tw Cen MT" w:hAnsi="Tw Cen MT" w:cs="Tw Cen MT"/>
          <w:sz w:val="18"/>
          <w:szCs w:val="18"/>
          <w:lang w:bidi="ar-SA"/>
        </w:rPr>
      </w:pPr>
      <w:r w:rsidRPr="006379C1">
        <w:rPr>
          <w:rFonts w:ascii="Tw Cen MT" w:eastAsia="Tw Cen MT" w:hAnsi="Tw Cen MT" w:cs="Tw Cen MT"/>
          <w:sz w:val="18"/>
          <w:szCs w:val="18"/>
          <w:lang w:bidi="ar-SA"/>
        </w:rPr>
        <w:t>Narges Eskandari Roozbahani, Date of Birth: 1981/3/2, Birthplace: Kermanshah, Iran</w:t>
      </w:r>
      <w:r>
        <w:rPr>
          <w:rFonts w:ascii="Tw Cen MT" w:eastAsia="Tw Cen MT" w:hAnsi="Tw Cen MT" w:cs="Tw Cen MT"/>
          <w:sz w:val="18"/>
          <w:szCs w:val="18"/>
          <w:lang w:bidi="ar-SA"/>
        </w:rPr>
        <w:t xml:space="preserve">; </w:t>
      </w:r>
      <w:r w:rsidRPr="006379C1">
        <w:rPr>
          <w:rFonts w:ascii="Tw Cen MT" w:eastAsia="Tw Cen MT" w:hAnsi="Tw Cen MT" w:cs="Tw Cen MT"/>
          <w:sz w:val="18"/>
          <w:szCs w:val="18"/>
          <w:lang w:bidi="ar-SA"/>
        </w:rPr>
        <w:t xml:space="preserve">Situation:  Pharmacology </w:t>
      </w:r>
      <w:proofErr w:type="spellStart"/>
      <w:r w:rsidRPr="006379C1">
        <w:rPr>
          <w:rFonts w:ascii="Tw Cen MT" w:eastAsia="Tw Cen MT" w:hAnsi="Tw Cen MT" w:cs="Tw Cen MT"/>
          <w:sz w:val="18"/>
          <w:szCs w:val="18"/>
          <w:lang w:bidi="ar-SA"/>
        </w:rPr>
        <w:t>Ph.D</w:t>
      </w:r>
      <w:proofErr w:type="spellEnd"/>
      <w:r w:rsidRPr="006379C1">
        <w:rPr>
          <w:rFonts w:ascii="Tw Cen MT" w:eastAsia="Tw Cen MT" w:hAnsi="Tw Cen MT" w:cs="Tw Cen MT"/>
          <w:sz w:val="18"/>
          <w:szCs w:val="18"/>
          <w:lang w:bidi="ar-SA"/>
        </w:rPr>
        <w:t xml:space="preserve">, researcher, clinical research development center, Kermanshah University of Medical Science, Kermanshah, </w:t>
      </w:r>
      <w:proofErr w:type="gramStart"/>
      <w:r w:rsidRPr="006379C1">
        <w:rPr>
          <w:rFonts w:ascii="Tw Cen MT" w:eastAsia="Tw Cen MT" w:hAnsi="Tw Cen MT" w:cs="Tw Cen MT"/>
          <w:sz w:val="18"/>
          <w:szCs w:val="18"/>
          <w:lang w:bidi="ar-SA"/>
        </w:rPr>
        <w:t>Iran .</w:t>
      </w:r>
      <w:proofErr w:type="gramEnd"/>
      <w:r w:rsidRPr="006379C1">
        <w:rPr>
          <w:rFonts w:ascii="Tw Cen MT" w:eastAsia="Tw Cen MT" w:hAnsi="Tw Cen MT" w:cs="Tw Cen MT"/>
          <w:sz w:val="18"/>
          <w:szCs w:val="18"/>
          <w:lang w:bidi="ar-SA"/>
        </w:rPr>
        <w:t xml:space="preserve"> </w:t>
      </w:r>
      <w:proofErr w:type="gramStart"/>
      <w:r w:rsidRPr="006379C1">
        <w:rPr>
          <w:rFonts w:ascii="Tw Cen MT" w:eastAsia="Tw Cen MT" w:hAnsi="Tw Cen MT" w:cs="Tw Cen MT"/>
          <w:sz w:val="18"/>
          <w:szCs w:val="18"/>
          <w:lang w:bidi="ar-SA"/>
        </w:rPr>
        <w:t>Ph.D.</w:t>
      </w:r>
      <w:proofErr w:type="gramEnd"/>
      <w:r w:rsidRPr="006379C1">
        <w:rPr>
          <w:rFonts w:ascii="Tw Cen MT" w:eastAsia="Tw Cen MT" w:hAnsi="Tw Cen MT" w:cs="Tw Cen MT"/>
          <w:sz w:val="18"/>
          <w:szCs w:val="18"/>
          <w:lang w:bidi="ar-SA"/>
        </w:rPr>
        <w:t xml:space="preserve">   </w:t>
      </w:r>
      <w:proofErr w:type="gramStart"/>
      <w:r w:rsidRPr="006379C1">
        <w:rPr>
          <w:rFonts w:ascii="Tw Cen MT" w:eastAsia="Tw Cen MT" w:hAnsi="Tw Cen MT" w:cs="Tw Cen MT"/>
          <w:sz w:val="18"/>
          <w:szCs w:val="18"/>
          <w:lang w:bidi="ar-SA"/>
        </w:rPr>
        <w:t>Pharmacology in Shiraz University, Iran.</w:t>
      </w:r>
      <w:proofErr w:type="gramEnd"/>
      <w:r w:rsidRPr="006379C1">
        <w:rPr>
          <w:rFonts w:ascii="Tw Cen MT" w:eastAsia="Tw Cen MT" w:hAnsi="Tw Cen MT" w:cs="Tw Cen MT"/>
          <w:sz w:val="18"/>
          <w:szCs w:val="18"/>
          <w:lang w:bidi="ar-SA"/>
        </w:rPr>
        <w:t xml:space="preserve"> </w:t>
      </w:r>
      <w:proofErr w:type="gramStart"/>
      <w:r w:rsidRPr="006379C1">
        <w:rPr>
          <w:rFonts w:ascii="Tw Cen MT" w:eastAsia="Tw Cen MT" w:hAnsi="Tw Cen MT" w:cs="Tw Cen MT"/>
          <w:sz w:val="18"/>
          <w:szCs w:val="18"/>
          <w:lang w:bidi="ar-SA"/>
        </w:rPr>
        <w:t>2013-2018, M.Sc.</w:t>
      </w:r>
      <w:proofErr w:type="gramEnd"/>
      <w:r w:rsidRPr="006379C1">
        <w:rPr>
          <w:rFonts w:ascii="Tw Cen MT" w:eastAsia="Tw Cen MT" w:hAnsi="Tw Cen MT" w:cs="Tw Cen MT"/>
          <w:sz w:val="18"/>
          <w:szCs w:val="18"/>
          <w:lang w:bidi="ar-SA"/>
        </w:rPr>
        <w:t xml:space="preserve">    </w:t>
      </w:r>
      <w:proofErr w:type="gramStart"/>
      <w:r w:rsidRPr="006379C1">
        <w:rPr>
          <w:rFonts w:ascii="Tw Cen MT" w:eastAsia="Tw Cen MT" w:hAnsi="Tw Cen MT" w:cs="Tw Cen MT"/>
          <w:sz w:val="18"/>
          <w:szCs w:val="18"/>
          <w:lang w:bidi="ar-SA"/>
        </w:rPr>
        <w:t>Physiology in Shiraz University, Iran.</w:t>
      </w:r>
      <w:proofErr w:type="gramEnd"/>
      <w:r w:rsidRPr="006379C1">
        <w:rPr>
          <w:rFonts w:ascii="Tw Cen MT" w:eastAsia="Tw Cen MT" w:hAnsi="Tw Cen MT" w:cs="Tw Cen MT"/>
          <w:sz w:val="18"/>
          <w:szCs w:val="18"/>
          <w:lang w:bidi="ar-SA"/>
        </w:rPr>
        <w:t xml:space="preserve"> 2011-2013</w:t>
      </w:r>
      <w:r>
        <w:rPr>
          <w:rFonts w:ascii="Tw Cen MT" w:eastAsia="Tw Cen MT" w:hAnsi="Tw Cen MT" w:cs="Tw Cen MT"/>
          <w:sz w:val="18"/>
          <w:szCs w:val="18"/>
          <w:lang w:bidi="ar-SA"/>
        </w:rPr>
        <w:t xml:space="preserve">; </w:t>
      </w:r>
      <w:r w:rsidRPr="006379C1">
        <w:rPr>
          <w:rFonts w:ascii="Tw Cen MT" w:eastAsia="Tw Cen MT" w:hAnsi="Tw Cen MT" w:cs="Tw Cen MT"/>
          <w:sz w:val="18"/>
          <w:szCs w:val="18"/>
          <w:lang w:bidi="ar-SA"/>
        </w:rPr>
        <w:t xml:space="preserve">Ph.D. Thesis Effect of ZM Boiss essential oil in Alzheimer's </w:t>
      </w:r>
      <w:proofErr w:type="gramStart"/>
      <w:r w:rsidRPr="006379C1">
        <w:rPr>
          <w:rFonts w:ascii="Tw Cen MT" w:eastAsia="Tw Cen MT" w:hAnsi="Tw Cen MT" w:cs="Tw Cen MT"/>
          <w:sz w:val="18"/>
          <w:szCs w:val="18"/>
          <w:lang w:bidi="ar-SA"/>
        </w:rPr>
        <w:t>Disease</w:t>
      </w:r>
      <w:proofErr w:type="gramEnd"/>
      <w:r w:rsidRPr="006379C1">
        <w:rPr>
          <w:rFonts w:ascii="Tw Cen MT" w:eastAsia="Tw Cen MT" w:hAnsi="Tw Cen MT" w:cs="Tw Cen MT"/>
          <w:sz w:val="18"/>
          <w:szCs w:val="18"/>
          <w:lang w:bidi="ar-SA"/>
        </w:rPr>
        <w:t xml:space="preserve">. Supervised by Dr. Shomali, 2017; M.Sc. Thesis Effect of garlic extract on formalin pain. Supervised by Dr. </w:t>
      </w:r>
      <w:proofErr w:type="spellStart"/>
      <w:r w:rsidRPr="006379C1">
        <w:rPr>
          <w:rFonts w:ascii="Tw Cen MT" w:eastAsia="Tw Cen MT" w:hAnsi="Tw Cen MT" w:cs="Tw Cen MT"/>
          <w:sz w:val="18"/>
          <w:szCs w:val="18"/>
          <w:lang w:bidi="ar-SA"/>
        </w:rPr>
        <w:t>Sajedianfard</w:t>
      </w:r>
      <w:proofErr w:type="spellEnd"/>
      <w:r w:rsidRPr="006379C1">
        <w:rPr>
          <w:rFonts w:ascii="Tw Cen MT" w:eastAsia="Tw Cen MT" w:hAnsi="Tw Cen MT" w:cs="Tw Cen MT"/>
          <w:sz w:val="18"/>
          <w:szCs w:val="18"/>
          <w:lang w:bidi="ar-SA"/>
        </w:rPr>
        <w:t xml:space="preserve">, 2013; Research Interests Bioinformatics, </w:t>
      </w:r>
      <w:proofErr w:type="spellStart"/>
      <w:r w:rsidRPr="006379C1">
        <w:rPr>
          <w:rFonts w:ascii="Tw Cen MT" w:eastAsia="Tw Cen MT" w:hAnsi="Tw Cen MT" w:cs="Tw Cen MT"/>
          <w:sz w:val="18"/>
          <w:szCs w:val="18"/>
          <w:lang w:bidi="ar-SA"/>
        </w:rPr>
        <w:t>Pharmacology,Metabolic</w:t>
      </w:r>
      <w:proofErr w:type="spellEnd"/>
      <w:r w:rsidRPr="006379C1">
        <w:rPr>
          <w:rFonts w:ascii="Tw Cen MT" w:eastAsia="Tw Cen MT" w:hAnsi="Tw Cen MT" w:cs="Tw Cen MT"/>
          <w:sz w:val="18"/>
          <w:szCs w:val="18"/>
          <w:lang w:bidi="ar-SA"/>
        </w:rPr>
        <w:t xml:space="preserve"> disorder, Cancer, Herbal </w:t>
      </w:r>
      <w:proofErr w:type="spellStart"/>
      <w:r w:rsidRPr="006379C1">
        <w:rPr>
          <w:rFonts w:ascii="Tw Cen MT" w:eastAsia="Tw Cen MT" w:hAnsi="Tw Cen MT" w:cs="Tw Cen MT"/>
          <w:sz w:val="18"/>
          <w:szCs w:val="18"/>
          <w:lang w:bidi="ar-SA"/>
        </w:rPr>
        <w:t>drugs,Toxicology</w:t>
      </w:r>
      <w:proofErr w:type="spellEnd"/>
      <w:r w:rsidRPr="006379C1">
        <w:rPr>
          <w:rFonts w:ascii="Tw Cen MT" w:eastAsia="Tw Cen MT" w:hAnsi="Tw Cen MT" w:cs="Tw Cen MT"/>
          <w:sz w:val="18"/>
          <w:szCs w:val="18"/>
          <w:lang w:bidi="ar-SA"/>
        </w:rPr>
        <w:t>, Alzheimer's disease; Contains more than 20 international articles in areas of interest</w:t>
      </w:r>
    </w:p>
    <w:p w:rsidR="00523A27" w:rsidRPr="006379C1" w:rsidRDefault="00523A27" w:rsidP="00523A27">
      <w:pPr>
        <w:bidi w:val="0"/>
        <w:rPr>
          <w:rFonts w:ascii="Tw Cen MT" w:eastAsia="Tw Cen MT" w:hAnsi="Tw Cen MT" w:cs="Tw Cen MT"/>
          <w:sz w:val="18"/>
          <w:szCs w:val="18"/>
          <w:lang w:bidi="ar-SA"/>
        </w:rPr>
      </w:pPr>
    </w:p>
    <w:p w:rsidR="006379C1" w:rsidRDefault="006379C1" w:rsidP="00523A27">
      <w:pPr>
        <w:bidi w:val="0"/>
        <w:rPr>
          <w:rFonts w:ascii="Arial" w:eastAsia="Tw Cen MT" w:hAnsi="Tw Cen MT" w:cs="Tw Cen MT"/>
          <w:b/>
          <w:color w:val="BF5A14"/>
          <w:sz w:val="20"/>
          <w:lang w:bidi="ar-SA"/>
        </w:rPr>
        <w:sectPr w:rsidR="006379C1" w:rsidSect="006379C1">
          <w:type w:val="continuous"/>
          <w:pgSz w:w="11906" w:h="16838" w:code="9"/>
          <w:pgMar w:top="1440" w:right="1440" w:bottom="1440" w:left="1440" w:header="709" w:footer="709" w:gutter="0"/>
          <w:cols w:space="708"/>
          <w:rtlGutter/>
          <w:docGrid w:linePitch="360"/>
        </w:sectPr>
      </w:pPr>
    </w:p>
    <w:p w:rsidR="00523A27" w:rsidRPr="00523A27" w:rsidRDefault="00523A27" w:rsidP="00523A27">
      <w:pPr>
        <w:bidi w:val="0"/>
        <w:rPr>
          <w:rFonts w:ascii="Arial" w:eastAsia="Tw Cen MT" w:hAnsi="Tw Cen MT" w:cs="Tw Cen MT"/>
          <w:b/>
          <w:color w:val="BF5A14"/>
          <w:sz w:val="20"/>
          <w:lang w:bidi="ar-SA"/>
        </w:rPr>
      </w:pPr>
    </w:p>
    <w:sectPr w:rsidR="00523A27" w:rsidRPr="00523A27" w:rsidSect="00523A27">
      <w:type w:val="continuous"/>
      <w:pgSz w:w="11906" w:h="16838" w:code="9"/>
      <w:pgMar w:top="1440" w:right="1440" w:bottom="1440" w:left="1440" w:header="709" w:footer="709" w:gutter="0"/>
      <w:cols w:num="2"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Tw Cen MT">
    <w:altName w:val="Lucida Sans Unicode"/>
    <w:panose1 w:val="020B06020201040206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111"/>
    <w:rsid w:val="00074720"/>
    <w:rsid w:val="00165AF4"/>
    <w:rsid w:val="00523A27"/>
    <w:rsid w:val="006379C1"/>
    <w:rsid w:val="00746C09"/>
    <w:rsid w:val="00775B58"/>
    <w:rsid w:val="00800C92"/>
    <w:rsid w:val="00BD0610"/>
    <w:rsid w:val="00C86B11"/>
    <w:rsid w:val="00DB364D"/>
    <w:rsid w:val="00DB4DAB"/>
    <w:rsid w:val="00FA211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autoRedefine/>
    <w:uiPriority w:val="1"/>
    <w:qFormat/>
    <w:rsid w:val="00800C92"/>
    <w:pPr>
      <w:keepNext/>
      <w:keepLines/>
      <w:spacing w:before="480" w:after="0"/>
      <w:outlineLvl w:val="0"/>
    </w:pPr>
    <w:rPr>
      <w:rFonts w:asciiTheme="majorHAnsi" w:eastAsiaTheme="majorEastAsia" w:hAnsiTheme="majorHAnsi" w:cs="B Nazanin"/>
      <w:b/>
      <w:bCs/>
      <w:sz w:val="28"/>
      <w:szCs w:val="96"/>
    </w:rPr>
  </w:style>
  <w:style w:type="paragraph" w:styleId="Heading3">
    <w:name w:val="heading 3"/>
    <w:basedOn w:val="Normal"/>
    <w:link w:val="Heading3Char"/>
    <w:uiPriority w:val="1"/>
    <w:qFormat/>
    <w:rsid w:val="00523A27"/>
    <w:pPr>
      <w:widowControl w:val="0"/>
      <w:bidi w:val="0"/>
      <w:spacing w:after="0" w:line="240" w:lineRule="auto"/>
      <w:ind w:left="100"/>
      <w:outlineLvl w:val="2"/>
    </w:pPr>
    <w:rPr>
      <w:rFonts w:ascii="Arial" w:eastAsia="Arial" w:hAnsi="Arial" w:cs="Arial"/>
      <w:b/>
      <w:bCs/>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C92"/>
    <w:rPr>
      <w:rFonts w:asciiTheme="majorHAnsi" w:eastAsiaTheme="majorEastAsia" w:hAnsiTheme="majorHAnsi" w:cs="B Nazanin"/>
      <w:b/>
      <w:bCs/>
      <w:sz w:val="28"/>
      <w:szCs w:val="96"/>
    </w:rPr>
  </w:style>
  <w:style w:type="paragraph" w:customStyle="1" w:styleId="EndNoteBibliography">
    <w:name w:val="EndNote Bibliography"/>
    <w:basedOn w:val="Normal"/>
    <w:link w:val="EndNoteBibliographyChar"/>
    <w:rsid w:val="00165AF4"/>
    <w:pPr>
      <w:bidi w:val="0"/>
      <w:spacing w:after="160" w:line="240" w:lineRule="auto"/>
    </w:pPr>
    <w:rPr>
      <w:rFonts w:ascii="Calibri" w:hAnsi="Calibri" w:cs="Calibri"/>
      <w:noProof/>
      <w:lang w:bidi="ar-SA"/>
    </w:rPr>
  </w:style>
  <w:style w:type="character" w:customStyle="1" w:styleId="EndNoteBibliographyChar">
    <w:name w:val="EndNote Bibliography Char"/>
    <w:basedOn w:val="DefaultParagraphFont"/>
    <w:link w:val="EndNoteBibliography"/>
    <w:rsid w:val="00165AF4"/>
    <w:rPr>
      <w:rFonts w:ascii="Calibri" w:hAnsi="Calibri" w:cs="Calibri"/>
      <w:noProof/>
      <w:lang w:bidi="ar-SA"/>
    </w:rPr>
  </w:style>
  <w:style w:type="character" w:customStyle="1" w:styleId="Heading3Char">
    <w:name w:val="Heading 3 Char"/>
    <w:basedOn w:val="DefaultParagraphFont"/>
    <w:link w:val="Heading3"/>
    <w:uiPriority w:val="1"/>
    <w:rsid w:val="00523A27"/>
    <w:rPr>
      <w:rFonts w:ascii="Arial" w:eastAsia="Arial" w:hAnsi="Arial" w:cs="Arial"/>
      <w:b/>
      <w:bCs/>
      <w:sz w:val="20"/>
      <w:szCs w:val="20"/>
      <w:lang w:bidi="ar-SA"/>
    </w:rPr>
  </w:style>
  <w:style w:type="paragraph" w:styleId="BalloonText">
    <w:name w:val="Balloon Text"/>
    <w:basedOn w:val="Normal"/>
    <w:link w:val="BalloonTextChar"/>
    <w:uiPriority w:val="99"/>
    <w:semiHidden/>
    <w:unhideWhenUsed/>
    <w:rsid w:val="00523A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A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autoRedefine/>
    <w:uiPriority w:val="1"/>
    <w:qFormat/>
    <w:rsid w:val="00800C92"/>
    <w:pPr>
      <w:keepNext/>
      <w:keepLines/>
      <w:spacing w:before="480" w:after="0"/>
      <w:outlineLvl w:val="0"/>
    </w:pPr>
    <w:rPr>
      <w:rFonts w:asciiTheme="majorHAnsi" w:eastAsiaTheme="majorEastAsia" w:hAnsiTheme="majorHAnsi" w:cs="B Nazanin"/>
      <w:b/>
      <w:bCs/>
      <w:sz w:val="28"/>
      <w:szCs w:val="96"/>
    </w:rPr>
  </w:style>
  <w:style w:type="paragraph" w:styleId="Heading3">
    <w:name w:val="heading 3"/>
    <w:basedOn w:val="Normal"/>
    <w:link w:val="Heading3Char"/>
    <w:uiPriority w:val="1"/>
    <w:qFormat/>
    <w:rsid w:val="00523A27"/>
    <w:pPr>
      <w:widowControl w:val="0"/>
      <w:bidi w:val="0"/>
      <w:spacing w:after="0" w:line="240" w:lineRule="auto"/>
      <w:ind w:left="100"/>
      <w:outlineLvl w:val="2"/>
    </w:pPr>
    <w:rPr>
      <w:rFonts w:ascii="Arial" w:eastAsia="Arial" w:hAnsi="Arial" w:cs="Arial"/>
      <w:b/>
      <w:bCs/>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C92"/>
    <w:rPr>
      <w:rFonts w:asciiTheme="majorHAnsi" w:eastAsiaTheme="majorEastAsia" w:hAnsiTheme="majorHAnsi" w:cs="B Nazanin"/>
      <w:b/>
      <w:bCs/>
      <w:sz w:val="28"/>
      <w:szCs w:val="96"/>
    </w:rPr>
  </w:style>
  <w:style w:type="paragraph" w:customStyle="1" w:styleId="EndNoteBibliography">
    <w:name w:val="EndNote Bibliography"/>
    <w:basedOn w:val="Normal"/>
    <w:link w:val="EndNoteBibliographyChar"/>
    <w:rsid w:val="00165AF4"/>
    <w:pPr>
      <w:bidi w:val="0"/>
      <w:spacing w:after="160" w:line="240" w:lineRule="auto"/>
    </w:pPr>
    <w:rPr>
      <w:rFonts w:ascii="Calibri" w:hAnsi="Calibri" w:cs="Calibri"/>
      <w:noProof/>
      <w:lang w:bidi="ar-SA"/>
    </w:rPr>
  </w:style>
  <w:style w:type="character" w:customStyle="1" w:styleId="EndNoteBibliographyChar">
    <w:name w:val="EndNote Bibliography Char"/>
    <w:basedOn w:val="DefaultParagraphFont"/>
    <w:link w:val="EndNoteBibliography"/>
    <w:rsid w:val="00165AF4"/>
    <w:rPr>
      <w:rFonts w:ascii="Calibri" w:hAnsi="Calibri" w:cs="Calibri"/>
      <w:noProof/>
      <w:lang w:bidi="ar-SA"/>
    </w:rPr>
  </w:style>
  <w:style w:type="character" w:customStyle="1" w:styleId="Heading3Char">
    <w:name w:val="Heading 3 Char"/>
    <w:basedOn w:val="DefaultParagraphFont"/>
    <w:link w:val="Heading3"/>
    <w:uiPriority w:val="1"/>
    <w:rsid w:val="00523A27"/>
    <w:rPr>
      <w:rFonts w:ascii="Arial" w:eastAsia="Arial" w:hAnsi="Arial" w:cs="Arial"/>
      <w:b/>
      <w:bCs/>
      <w:sz w:val="20"/>
      <w:szCs w:val="20"/>
      <w:lang w:bidi="ar-SA"/>
    </w:rPr>
  </w:style>
  <w:style w:type="paragraph" w:styleId="BalloonText">
    <w:name w:val="Balloon Text"/>
    <w:basedOn w:val="Normal"/>
    <w:link w:val="BalloonTextChar"/>
    <w:uiPriority w:val="99"/>
    <w:semiHidden/>
    <w:unhideWhenUsed/>
    <w:rsid w:val="00523A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A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hyperlink" Target="mailto:sarahiannahid@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PCLAND</dc:creator>
  <cp:keywords/>
  <dc:description/>
  <cp:lastModifiedBy>PCLAND</cp:lastModifiedBy>
  <cp:revision>4</cp:revision>
  <dcterms:created xsi:type="dcterms:W3CDTF">2022-04-04T13:48:00Z</dcterms:created>
  <dcterms:modified xsi:type="dcterms:W3CDTF">2022-04-04T16:25:00Z</dcterms:modified>
</cp:coreProperties>
</file>