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hd w:val="clear" w:color="auto" w:fill="FFFFFF"/>
        <w:spacing w:before="0" w:beforeAutospacing="0" w:after="0" w:afterAutospacing="0" w:line="360" w:lineRule="auto"/>
        <w:rPr>
          <w:rFonts w:hint="default" w:ascii="Times New Roman" w:hAnsi="Times New Roman" w:cs="Times New Roman"/>
        </w:rPr>
      </w:pPr>
      <w:bookmarkStart w:id="0" w:name="OLE_LINK24"/>
      <w:r>
        <w:rPr>
          <w:rFonts w:hint="default" w:ascii="Times New Roman" w:hAnsi="Times New Roman" w:cs="Times New Roman"/>
          <w:b/>
        </w:rPr>
        <w:t xml:space="preserve">Ginsenoside Rb1 </w:t>
      </w:r>
      <w:r>
        <w:rPr>
          <w:rFonts w:hint="eastAsia" w:ascii="Times New Roman" w:hAnsi="Times New Roman" w:cs="Times New Roman"/>
          <w:b/>
          <w:lang w:val="en-US" w:eastAsia="zh-CN"/>
        </w:rPr>
        <w:t>improv</w:t>
      </w:r>
      <w:r>
        <w:rPr>
          <w:rFonts w:hint="default" w:ascii="Times New Roman" w:hAnsi="Times New Roman" w:cs="Times New Roman"/>
          <w:b/>
        </w:rPr>
        <w:t xml:space="preserve">ing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HYPERLINK "https://www.ncbi.nlm.nih.gov/pubmed/28302481"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eastAsia" w:ascii="Times New Roman" w:hAnsi="Times New Roman" w:cs="Times New Roman"/>
          <w:b/>
          <w:color w:val="auto"/>
          <w:u w:val="none"/>
          <w:lang w:val="en-US" w:eastAsia="zh-CN"/>
        </w:rPr>
        <w:t>c</w:t>
      </w:r>
      <w:r>
        <w:rPr>
          <w:rStyle w:val="7"/>
          <w:rFonts w:hint="default" w:ascii="Times New Roman" w:hAnsi="Times New Roman" w:cs="Times New Roman"/>
          <w:b/>
          <w:color w:val="auto"/>
          <w:u w:val="none"/>
        </w:rPr>
        <w:t xml:space="preserve">ardiac </w:t>
      </w:r>
      <w:r>
        <w:rPr>
          <w:rStyle w:val="7"/>
          <w:rFonts w:hint="eastAsia" w:ascii="Times New Roman" w:hAnsi="Times New Roman" w:eastAsia="宋体" w:cs="Times New Roman"/>
          <w:b/>
          <w:color w:val="auto"/>
          <w:u w:val="none"/>
          <w:lang w:val="en-US" w:eastAsia="zh-CN"/>
        </w:rPr>
        <w:t>m</w:t>
      </w:r>
      <w:r>
        <w:rPr>
          <w:rStyle w:val="7"/>
          <w:rFonts w:hint="default" w:ascii="Times New Roman" w:hAnsi="Times New Roman" w:cs="Times New Roman"/>
          <w:b/>
          <w:color w:val="auto"/>
          <w:u w:val="none"/>
        </w:rPr>
        <w:t xml:space="preserve">etabolic </w:t>
      </w:r>
      <w:r>
        <w:rPr>
          <w:rStyle w:val="7"/>
          <w:rFonts w:hint="eastAsia" w:ascii="Times New Roman" w:hAnsi="Times New Roman" w:eastAsia="宋体" w:cs="Times New Roman"/>
          <w:b/>
          <w:color w:val="auto"/>
          <w:u w:val="none"/>
          <w:lang w:val="en-US" w:eastAsia="zh-CN"/>
        </w:rPr>
        <w:t>r</w:t>
      </w:r>
      <w:r>
        <w:rPr>
          <w:rStyle w:val="7"/>
          <w:rFonts w:hint="default" w:ascii="Times New Roman" w:hAnsi="Times New Roman" w:cs="Times New Roman"/>
          <w:b/>
          <w:color w:val="auto"/>
          <w:u w:val="none"/>
        </w:rPr>
        <w:t xml:space="preserve">emodeling in the </w:t>
      </w:r>
      <w:r>
        <w:rPr>
          <w:rStyle w:val="7"/>
          <w:rFonts w:hint="eastAsia" w:ascii="Times New Roman" w:hAnsi="Times New Roman" w:eastAsia="宋体" w:cs="Times New Roman"/>
          <w:b/>
          <w:color w:val="auto"/>
          <w:u w:val="none"/>
          <w:lang w:val="en-US" w:eastAsia="zh-CN"/>
        </w:rPr>
        <w:t>f</w:t>
      </w:r>
      <w:r>
        <w:rPr>
          <w:rStyle w:val="7"/>
          <w:rFonts w:hint="default" w:ascii="Times New Roman" w:hAnsi="Times New Roman" w:cs="Times New Roman"/>
          <w:b/>
          <w:color w:val="auto"/>
          <w:u w:val="none"/>
        </w:rPr>
        <w:t xml:space="preserve">ailing </w:t>
      </w:r>
      <w:r>
        <w:rPr>
          <w:rStyle w:val="7"/>
          <w:rFonts w:hint="eastAsia" w:ascii="Times New Roman" w:hAnsi="Times New Roman" w:eastAsia="宋体" w:cs="Times New Roman"/>
          <w:b/>
          <w:color w:val="auto"/>
          <w:u w:val="none"/>
          <w:lang w:val="en-US" w:eastAsia="zh-CN"/>
        </w:rPr>
        <w:t>h</w:t>
      </w:r>
      <w:r>
        <w:rPr>
          <w:rStyle w:val="7"/>
          <w:rFonts w:hint="default" w:ascii="Times New Roman" w:hAnsi="Times New Roman" w:cs="Times New Roman"/>
          <w:b/>
          <w:color w:val="auto"/>
          <w:u w:val="none"/>
        </w:rPr>
        <w:t>eart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eastAsia" w:ascii="Times New Roman" w:hAnsi="Times New Roman" w:cs="Times New Roman"/>
          <w:b/>
          <w:color w:val="auto"/>
          <w:sz w:val="21"/>
          <w:szCs w:val="22"/>
          <w:u w:val="none"/>
          <w:lang w:val="en-US" w:eastAsia="zh-CN"/>
        </w:rPr>
        <w:t xml:space="preserve"> through AMPK pathway</w:t>
      </w:r>
    </w:p>
    <w:bookmarkEnd w:id="0"/>
    <w:p>
      <w:pPr>
        <w:spacing w:line="360" w:lineRule="auto"/>
        <w:rPr>
          <w:rFonts w:hint="default"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>
      <w:pPr>
        <w:spacing w:line="360" w:lineRule="auto"/>
        <w:rPr>
          <w:rFonts w:hint="default" w:ascii="Times New Roman" w:hAnsi="Times New Roman" w:cs="Times New Roman"/>
          <w:bCs/>
          <w:kern w:val="0"/>
          <w:sz w:val="24"/>
          <w:szCs w:val="24"/>
        </w:rPr>
      </w:pPr>
      <w:bookmarkStart w:id="1" w:name="OLE_LINK7"/>
      <w:bookmarkStart w:id="2" w:name="OLE_LINK16"/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>KONG Hong-liang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 xml:space="preserve"> 1</w:t>
      </w:r>
      <w:r>
        <w:rPr>
          <w:rFonts w:hint="default" w:ascii="Times New Roman" w:hAnsi="Times New Roman" w:cs="Times New Roman"/>
          <w:vertAlign w:val="superscript"/>
        </w:rPr>
        <w:t>*</w:t>
      </w:r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>,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SUN Jing-ru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>JIANG</w:t>
      </w:r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>Yu-kun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 xml:space="preserve"> 1</w:t>
      </w:r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>,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kern w:val="0"/>
          <w:sz w:val="24"/>
          <w:szCs w:val="24"/>
          <w:lang w:val="en-US" w:eastAsia="zh-CN"/>
        </w:rPr>
        <w:t>WANG Dan-he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bCs/>
          <w:kern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>TIAN Mei-jing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>1,3</w:t>
      </w:r>
      <w:r>
        <w:rPr>
          <w:rFonts w:hint="default" w:ascii="Times New Roman" w:hAnsi="Times New Roman" w:cs="Times New Roman"/>
          <w:bCs/>
          <w:sz w:val="24"/>
          <w:szCs w:val="24"/>
        </w:rPr>
        <w:t>,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>WANG</w:t>
      </w:r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>Hui-pan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>1,3</w:t>
      </w:r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>MA</w:t>
      </w:r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Cs/>
          <w:kern w:val="0"/>
          <w:sz w:val="24"/>
          <w:szCs w:val="24"/>
          <w:lang w:val="en-US" w:eastAsia="zh-CN"/>
        </w:rPr>
        <w:t>Cao-bin</w:t>
      </w:r>
      <w:bookmarkEnd w:id="1"/>
      <w:r>
        <w:rPr>
          <w:rFonts w:hint="default" w:ascii="Times New Roman" w:hAnsi="Times New Roman" w:cs="Times New Roman"/>
          <w:bCs/>
          <w:kern w:val="0"/>
          <w:sz w:val="24"/>
          <w:szCs w:val="24"/>
          <w:vertAlign w:val="superscript"/>
          <w:lang w:val="en-US" w:eastAsia="zh-CN"/>
        </w:rPr>
        <w:t xml:space="preserve"> 1</w:t>
      </w:r>
      <w:r>
        <w:rPr>
          <w:rFonts w:hint="default" w:ascii="Times New Roman" w:hAnsi="Times New Roman" w:cs="Times New Roman"/>
          <w:bCs/>
          <w:kern w:val="0"/>
          <w:sz w:val="24"/>
          <w:szCs w:val="24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/>
          <w:bCs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default" w:ascii="Times New Roman" w:hAnsi="Times New Roman" w:cs="Times New Roman"/>
        </w:rPr>
      </w:pPr>
      <w:bookmarkStart w:id="3" w:name="OLE_LINK8"/>
      <w:r>
        <w:rPr>
          <w:rFonts w:hint="default" w:ascii="Times New Roman" w:hAnsi="Times New Roman" w:cs="Times New Roman"/>
          <w:vertAlign w:val="superscript"/>
          <w:lang w:val="en-US" w:eastAsia="zh-CN"/>
        </w:rPr>
        <w:t xml:space="preserve">1 </w:t>
      </w:r>
      <w:bookmarkStart w:id="4" w:name="OLE_LINK12"/>
      <w:r>
        <w:rPr>
          <w:rFonts w:hint="default" w:ascii="Times New Roman" w:hAnsi="Times New Roman" w:cs="Times New Roman"/>
        </w:rPr>
        <w:t>Department of Cardiology</w:t>
      </w:r>
      <w:bookmarkEnd w:id="3"/>
      <w:r>
        <w:rPr>
          <w:rFonts w:hint="default" w:ascii="Times New Roman" w:hAnsi="Times New Roman" w:cs="Times New Roman"/>
        </w:rPr>
        <w:t>, The People's Hospital of Liaoning Province, i</w:t>
      </w:r>
      <w:r>
        <w:rPr>
          <w:rFonts w:hint="default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</w:rPr>
        <w:t>e. The people's Hospital of China Medical University, Shenyang (110016), China</w:t>
      </w:r>
      <w:bookmarkEnd w:id="4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Department of </w:t>
      </w:r>
      <w:r>
        <w:rPr>
          <w:rFonts w:hint="eastAsia" w:ascii="Times New Roman" w:hAnsi="Times New Roman" w:cs="Times New Roman"/>
          <w:lang w:val="en-US" w:eastAsia="zh-CN"/>
        </w:rPr>
        <w:t>endocrinology</w:t>
      </w:r>
      <w:r>
        <w:rPr>
          <w:rFonts w:hint="default"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 xml:space="preserve">Jinqiu </w:t>
      </w:r>
      <w:r>
        <w:rPr>
          <w:rFonts w:hint="default" w:ascii="Times New Roman" w:hAnsi="Times New Roman" w:cs="Times New Roman"/>
        </w:rPr>
        <w:t>Hospital of Liaoning Province. Shenyang (110016)</w:t>
      </w:r>
      <w:r>
        <w:rPr>
          <w:rFonts w:hint="default" w:ascii="Times New Roman" w:hAnsi="Times New Roman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China.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vertAlign w:val="superscript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</w:rPr>
        <w:t>Dalian Medical University. Dalian(116044)</w:t>
      </w:r>
      <w:r>
        <w:rPr>
          <w:rFonts w:hint="default" w:ascii="Times New Roman" w:hAnsi="Times New Roman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China.</w:t>
      </w:r>
    </w:p>
    <w:bookmarkEnd w:id="2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default" w:ascii="Times New Roman" w:hAnsi="Times New Roman" w:cs="Times New Roman"/>
        </w:rPr>
      </w:pPr>
    </w:p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ABSTRACT </w:t>
      </w:r>
    </w:p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cs="Times New Roman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iCs/>
          <w:sz w:val="24"/>
          <w:szCs w:val="24"/>
        </w:rPr>
        <w:t>Objective</w:t>
      </w:r>
      <w:r>
        <w:rPr>
          <w:rFonts w:hint="default" w:ascii="Times New Roman" w:hAnsi="Times New Roman" w:cs="Times New Roman"/>
          <w:b/>
          <w:i/>
          <w:iCs/>
          <w:sz w:val="24"/>
          <w:szCs w:val="24"/>
          <w:lang w:val="en-US" w:eastAsia="zh-CN"/>
        </w:rPr>
        <w:t>(s)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</w:rPr>
        <w:t xml:space="preserve"> To investigate whether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Ginsenoside-Rb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(Gs-Rb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)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improve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</w:rPr>
        <w:t xml:space="preserve"> cardiac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metabolic remodeling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in rats with heart failure (HF), in what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role AMP-activated protein kinase (AMPK) plays.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i/>
          <w:iCs/>
          <w:sz w:val="24"/>
          <w:szCs w:val="24"/>
          <w:lang w:val="en-US" w:eastAsia="zh-CN"/>
        </w:rPr>
        <w:t xml:space="preserve">Materials and </w:t>
      </w:r>
      <w:r>
        <w:rPr>
          <w:rFonts w:hint="default" w:ascii="Times New Roman" w:hAnsi="Times New Roman" w:cs="Times New Roman"/>
          <w:b/>
          <w:i/>
          <w:iCs/>
          <w:sz w:val="24"/>
          <w:szCs w:val="24"/>
        </w:rPr>
        <w:t>Methods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Chronic HF rat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were randomly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grouped into control group, HF group,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group,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AraA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(adenine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9-β-D-arabinofuranoside, 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specific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AMPK inhibitor)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-1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group,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AraA-2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group (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AraA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+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),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(5'-aminoimidazole-4-carboxamide riboside, 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specific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AMPK activator)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-1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group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and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-2 group (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+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). Myocardial high-energy phosphate, AMPK activity and some enzymes in cardiac mitochondria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were determinated.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i/>
          <w:iCs/>
          <w:sz w:val="24"/>
          <w:szCs w:val="24"/>
        </w:rPr>
        <w:t>Results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1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, superior to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significantly improved HF.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2.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and/or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significantly up-regulated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he AMPK activity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in the failing heart.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3.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, similar to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, significantly increased PCr/ATP ratio and significantly decreased ADP/ATP ratio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in the failing heart.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4.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Except for Cx II,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significantly improved the activities of other mitochondria respiratory chain complexs (MRC)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the activities of citrate synthase and aconitase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in the failing heart, as was similar to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.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5.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and/or </w:t>
      </w:r>
      <w:r>
        <w:rPr>
          <w:rFonts w:hint="default" w:ascii="Times New Roman" w:hAnsi="Times New Roman" w:cs="Times New Roman"/>
          <w:b w:val="0"/>
          <w:bCs w:val="0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improved 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he level of GAPDH, PGK, PK and PDHa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in 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>the failing heart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.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6.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and/or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  <w:lang w:eastAsia="zh-CN"/>
        </w:rPr>
        <w:t>Aicar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significantly improved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he activity of MCAD and ACSL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in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 xml:space="preserve"> the failing heart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.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</w:t>
      </w:r>
      <w:bookmarkStart w:id="5" w:name="_GoBack"/>
      <w:bookmarkEnd w:id="5"/>
      <w:r>
        <w:rPr>
          <w:rFonts w:hint="default" w:ascii="Times New Roman" w:hAnsi="Times New Roman" w:cs="Times New Roman"/>
          <w:b/>
          <w:i/>
          <w:iCs/>
          <w:sz w:val="24"/>
          <w:szCs w:val="24"/>
        </w:rPr>
        <w:t>Conclusion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kern w:val="0"/>
          <w:sz w:val="24"/>
          <w:szCs w:val="24"/>
        </w:rPr>
        <w:t>Gs-Rb1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 xml:space="preserve"> may modulate cardiac metabolic remodeling in the failing heart, which may be mediated by AMPK pathway.</w:t>
      </w:r>
    </w:p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cs="Times New Roman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iCs/>
          <w:sz w:val="24"/>
          <w:szCs w:val="24"/>
        </w:rPr>
        <w:t>K</w:t>
      </w:r>
      <w:r>
        <w:rPr>
          <w:rFonts w:hint="eastAsia" w:ascii="Times New Roman" w:hAnsi="Times New Roman" w:cs="Times New Roman"/>
          <w:b/>
          <w:i/>
          <w:iCs/>
          <w:sz w:val="24"/>
          <w:szCs w:val="24"/>
          <w:lang w:val="en-US" w:eastAsia="zh-CN"/>
        </w:rPr>
        <w:t>eywords</w:t>
      </w:r>
      <w:r>
        <w:rPr>
          <w:rFonts w:hint="default" w:ascii="Times New Roman" w:hAnsi="Times New Roman" w:cs="Times New Roman"/>
          <w:b/>
          <w:i/>
          <w:iCs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cs="Times New Roman"/>
          <w:sz w:val="24"/>
          <w:szCs w:val="24"/>
        </w:rPr>
        <w:t xml:space="preserve">insenosides-Rbl,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sz w:val="24"/>
          <w:szCs w:val="24"/>
        </w:rPr>
        <w:t xml:space="preserve">eart failure, 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AMP-activated protein kinase,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itochondria respiratory chain complexs</w:t>
      </w:r>
    </w:p>
    <w:p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iCs/>
          <w:sz w:val="24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Times New Roman" w:hAnsi="Times New Roman" w:eastAsia="宋体" w:cs="Times New Roman"/>
          <w:b/>
          <w:iCs/>
          <w:sz w:val="24"/>
          <w:lang w:val="en-US" w:eastAsia="zh-CN"/>
        </w:rPr>
      </w:pPr>
      <w:r>
        <w:rPr>
          <w:rFonts w:ascii="Times New Roman" w:hAnsi="Times New Roman" w:cs="Times New Roman"/>
          <w:b/>
          <w:iCs/>
          <w:sz w:val="24"/>
        </w:rPr>
        <w:t>Professional Biography</w:t>
      </w:r>
      <w:r>
        <w:rPr>
          <w:rFonts w:hint="eastAsia" w:ascii="Times New Roman" w:hAnsi="Times New Roman" w:eastAsia="宋体" w:cs="Times New Roman"/>
          <w:b/>
          <w:iCs/>
          <w:sz w:val="24"/>
          <w:lang w:val="en-US" w:eastAsia="zh-CN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KONG HL</w:t>
      </w:r>
      <w:r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38</w:t>
      </w:r>
      <w:r>
        <w:rPr>
          <w:rFonts w:ascii="Times New Roman" w:hAnsi="Times New Roman" w:cs="Times New Roman"/>
          <w:iCs/>
          <w:sz w:val="24"/>
        </w:rPr>
        <w:t xml:space="preserve"> years from C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hina medical</w:t>
      </w:r>
      <w:r>
        <w:rPr>
          <w:rFonts w:ascii="Times New Roman" w:hAnsi="Times New Roman" w:cs="Times New Roman"/>
          <w:iCs/>
          <w:sz w:val="24"/>
        </w:rPr>
        <w:t xml:space="preserve"> University. He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iCs/>
          <w:sz w:val="24"/>
        </w:rPr>
        <w:t>is the director of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 xml:space="preserve"> the </w:t>
      </w:r>
      <w:r>
        <w:rPr>
          <w:rFonts w:ascii="Times New Roman" w:hAnsi="Times New Roman" w:eastAsia="宋体" w:cs="Times New Roman"/>
          <w:iCs/>
          <w:kern w:val="2"/>
          <w:sz w:val="24"/>
          <w:szCs w:val="22"/>
          <w:lang w:val="en-US" w:eastAsia="zh-CN" w:bidi="ar-SA"/>
        </w:rPr>
        <w:t>laboratory</w:t>
      </w:r>
      <w:r>
        <w:rPr>
          <w:rFonts w:hint="eastAsia" w:ascii="Times New Roman" w:hAnsi="Times New Roman" w:eastAsia="宋体" w:cs="Times New Roman"/>
          <w:iCs/>
          <w:kern w:val="2"/>
          <w:sz w:val="24"/>
          <w:szCs w:val="22"/>
          <w:lang w:val="en-US" w:eastAsia="zh-CN" w:bidi="ar-SA"/>
        </w:rPr>
        <w:t xml:space="preserve"> and 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en-US" w:eastAsia="zh-CN"/>
        </w:rPr>
        <w:t>the 4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vertAlign w:val="superscript"/>
          <w:lang w:val="en-US" w:eastAsia="zh-CN"/>
        </w:rPr>
        <w:t>th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en-US" w:eastAsia="zh-CN"/>
        </w:rPr>
        <w:t xml:space="preserve"> departments of Cardiovascular </w:t>
      </w: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center</w:t>
      </w:r>
      <w:r>
        <w:rPr>
          <w:rFonts w:hint="eastAsia" w:ascii="Times New Roman" w:hAnsi="Times New Roman" w:cs="Times New Roman"/>
          <w:bCs/>
          <w:color w:val="000000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iCs/>
          <w:kern w:val="2"/>
          <w:sz w:val="24"/>
          <w:szCs w:val="22"/>
          <w:lang w:val="en-US" w:eastAsia="zh-CN" w:bidi="ar-SA"/>
        </w:rPr>
        <w:t xml:space="preserve"> People</w:t>
      </w:r>
      <w:r>
        <w:rPr>
          <w:rFonts w:hint="default" w:ascii="Times New Roman" w:hAnsi="Times New Roman" w:eastAsia="宋体" w:cs="Times New Roman"/>
          <w:iCs/>
          <w:kern w:val="2"/>
          <w:sz w:val="24"/>
          <w:szCs w:val="22"/>
          <w:lang w:val="en-US" w:eastAsia="zh-CN" w:bidi="ar-SA"/>
        </w:rPr>
        <w:t>'</w:t>
      </w:r>
      <w:r>
        <w:rPr>
          <w:rFonts w:hint="eastAsia" w:ascii="Times New Roman" w:hAnsi="Times New Roman" w:eastAsia="宋体" w:cs="Times New Roman"/>
          <w:iCs/>
          <w:kern w:val="2"/>
          <w:sz w:val="24"/>
          <w:szCs w:val="22"/>
          <w:lang w:val="en-US" w:eastAsia="zh-CN" w:bidi="ar-SA"/>
        </w:rPr>
        <w:t>s hospital of Liaoning Province</w:t>
      </w:r>
      <w:r>
        <w:rPr>
          <w:rFonts w:ascii="Times New Roman" w:hAnsi="Times New Roman" w:cs="Times New Roman"/>
          <w:iCs/>
          <w:sz w:val="24"/>
        </w:rPr>
        <w:t xml:space="preserve">. He has published more than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30</w:t>
      </w:r>
      <w:r>
        <w:rPr>
          <w:rFonts w:ascii="Times New Roman" w:hAnsi="Times New Roman" w:cs="Times New Roman"/>
          <w:iCs/>
          <w:sz w:val="24"/>
        </w:rPr>
        <w:t xml:space="preserve"> papers in reputed journals.</w:t>
      </w:r>
    </w:p>
    <w:p>
      <w:pPr>
        <w:pStyle w:val="3"/>
        <w:jc w:val="both"/>
        <w:rPr>
          <w:rFonts w:ascii="Times New Roman" w:hAnsi="Times New Roman" w:cs="Times New Roman"/>
          <w:iCs/>
          <w:sz w:val="24"/>
        </w:rPr>
      </w:pPr>
    </w:p>
    <w:p>
      <w:pPr>
        <w:pStyle w:val="3"/>
        <w:jc w:val="both"/>
        <w:rPr>
          <w:rFonts w:ascii="Times New Roman" w:hAnsi="Times New Roman" w:cs="Times New Roman"/>
          <w:iCs/>
          <w:sz w:val="24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eastAsia="zh-CN"/>
        </w:rPr>
        <w:drawing>
          <wp:inline distT="0" distB="0" distL="114300" distR="114300">
            <wp:extent cx="1183005" cy="1544320"/>
            <wp:effectExtent l="0" t="0" r="17145" b="17780"/>
            <wp:docPr id="2" name="图片 2" descr="孔宏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孔宏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T7EF0o0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">
    <w:panose1 w:val="020B0604020202020204"/>
    <w:charset w:val="8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6693F"/>
    <w:rsid w:val="2E08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rFonts w:ascii="Calibri" w:hAnsi="Calibri" w:eastAsia="宋体" w:cs="Times New Roman"/>
      <w:color w:val="0000FF"/>
      <w:u w:val="single"/>
    </w:rPr>
  </w:style>
  <w:style w:type="character" w:styleId="8">
    <w:name w:val="footnote reference"/>
    <w:basedOn w:val="6"/>
    <w:uiPriority w:val="0"/>
    <w:rPr>
      <w:rFonts w:ascii="Calibri" w:hAnsi="Calibri" w:eastAsia="宋体" w:cs="Times New Roman"/>
      <w:vertAlign w:val="superscript"/>
    </w:rPr>
  </w:style>
  <w:style w:type="paragraph" w:customStyle="1" w:styleId="9">
    <w:name w:val="titl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空也</cp:lastModifiedBy>
  <dcterms:modified xsi:type="dcterms:W3CDTF">2019-07-15T01:31:17Z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