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sz w:val="24"/>
          <w:szCs w:val="24"/>
        </w:rPr>
      </w:pPr>
      <w:r>
        <w:rPr>
          <w:b w:val="1"/>
          <w:bCs w:val="1"/>
          <w:sz w:val="24"/>
          <w:szCs w:val="24"/>
          <w:rtl w:val="0"/>
          <w:lang w:val="de-DE"/>
        </w:rPr>
        <w:t xml:space="preserve">Abstract Title: </w:t>
      </w:r>
      <w:r>
        <w:rPr>
          <w:b w:val="1"/>
          <w:bCs w:val="1"/>
          <w:sz w:val="24"/>
          <w:szCs w:val="24"/>
          <w:u w:color="0000ff"/>
          <w:rtl w:val="0"/>
          <w:lang w:val="en-US"/>
        </w:rPr>
        <w:t xml:space="preserve">The </w:t>
      </w:r>
      <w:r>
        <w:rPr>
          <w:b w:val="1"/>
          <w:bCs w:val="1"/>
          <w:sz w:val="24"/>
          <w:szCs w:val="24"/>
          <w:u w:color="0000ff"/>
          <w:rtl w:val="0"/>
          <w:lang w:val="en-US"/>
        </w:rPr>
        <w:t>e</w:t>
      </w:r>
      <w:r>
        <w:rPr>
          <w:b w:val="1"/>
          <w:bCs w:val="1"/>
          <w:sz w:val="24"/>
          <w:szCs w:val="24"/>
          <w:u w:color="0000ff"/>
          <w:rtl w:val="0"/>
          <w:lang w:val="en-US"/>
        </w:rPr>
        <w:t>ffect of</w:t>
      </w:r>
      <w:r>
        <w:rPr>
          <w:b w:val="1"/>
          <w:bCs w:val="1"/>
          <w:sz w:val="24"/>
          <w:szCs w:val="24"/>
          <w:rtl w:val="0"/>
        </w:rPr>
        <w:t xml:space="preserve"> </w:t>
      </w:r>
      <w:r>
        <w:rPr>
          <w:b w:val="1"/>
          <w:bCs w:val="1"/>
          <w:sz w:val="24"/>
          <w:szCs w:val="24"/>
          <w:rtl w:val="0"/>
          <w:lang w:val="en-US"/>
        </w:rPr>
        <w:t xml:space="preserve">the </w:t>
      </w:r>
      <w:r>
        <w:rPr>
          <w:b w:val="1"/>
          <w:bCs w:val="1"/>
          <w:sz w:val="24"/>
          <w:szCs w:val="24"/>
          <w:u w:color="0000ff"/>
          <w:rtl w:val="0"/>
          <w:lang w:val="en-US"/>
        </w:rPr>
        <w:t>anti-cancer preparation NSC631570</w:t>
      </w:r>
      <w:r>
        <w:rPr>
          <w:b w:val="1"/>
          <w:bCs w:val="1"/>
          <w:sz w:val="24"/>
          <w:szCs w:val="24"/>
          <w:u w:color="0000ff"/>
          <w:rtl w:val="0"/>
          <w:lang w:val="en-US"/>
        </w:rPr>
        <w:t xml:space="preserve"> (Ukrain) on the </w:t>
      </w:r>
      <w:r>
        <w:rPr>
          <w:b w:val="1"/>
          <w:bCs w:val="1"/>
          <w:sz w:val="24"/>
          <w:szCs w:val="24"/>
          <w:u w:color="0000ff"/>
          <w:rtl w:val="0"/>
          <w:lang w:val="en-US"/>
        </w:rPr>
        <w:t>d</w:t>
      </w:r>
      <w:r>
        <w:rPr>
          <w:b w:val="1"/>
          <w:bCs w:val="1"/>
          <w:sz w:val="24"/>
          <w:szCs w:val="24"/>
          <w:u w:color="0000ff"/>
          <w:rtl w:val="0"/>
          <w:lang w:val="en-US"/>
        </w:rPr>
        <w:t xml:space="preserve">endritic </w:t>
      </w:r>
      <w:r>
        <w:rPr>
          <w:b w:val="1"/>
          <w:bCs w:val="1"/>
          <w:sz w:val="24"/>
          <w:szCs w:val="24"/>
          <w:u w:color="0000ff"/>
          <w:rtl w:val="0"/>
          <w:lang w:val="en-US"/>
        </w:rPr>
        <w:t>c</w:t>
      </w:r>
      <w:r>
        <w:rPr>
          <w:b w:val="1"/>
          <w:bCs w:val="1"/>
          <w:sz w:val="24"/>
          <w:szCs w:val="24"/>
          <w:u w:color="0000ff"/>
          <w:rtl w:val="0"/>
          <w:lang w:val="en-US"/>
        </w:rPr>
        <w:t>ells</w:t>
      </w:r>
    </w:p>
    <w:p>
      <w:pPr>
        <w:pStyle w:val="Body"/>
        <w:spacing w:after="0" w:line="240" w:lineRule="auto"/>
        <w:jc w:val="center"/>
        <w:rPr>
          <w:rFonts w:ascii="Times New Roman" w:cs="Times New Roman" w:hAnsi="Times New Roman" w:eastAsia="Times New Roman"/>
          <w:sz w:val="24"/>
          <w:szCs w:val="24"/>
          <w:lang w:val="it-IT"/>
        </w:rPr>
      </w:pPr>
      <w:r>
        <w:rPr>
          <w:rFonts w:ascii="Times New Roman" w:hAnsi="Times New Roman"/>
          <w:sz w:val="24"/>
          <w:szCs w:val="24"/>
          <w:rtl w:val="0"/>
          <w:lang w:val="it-IT"/>
        </w:rPr>
        <w:t>Name: Dr. Wassil Nowicky</w:t>
      </w:r>
      <w:r>
        <w:rPr>
          <w:rFonts w:ascii="Arial Unicode MS" w:cs="Arial Unicode MS" w:hAnsi="Arial Unicode MS" w:eastAsia="Arial Unicode MS"/>
          <w:b w:val="0"/>
          <w:bCs w:val="0"/>
          <w:i w:val="0"/>
          <w:iCs w:val="0"/>
          <w:sz w:val="24"/>
          <w:szCs w:val="24"/>
          <w:lang w:val="it-IT"/>
        </w:rPr>
        <w:br w:type="textWrapping"/>
      </w:r>
    </w:p>
    <w:p>
      <w:pPr>
        <w:pStyle w:val="Body"/>
        <w:spacing w:after="0" w:line="240" w:lineRule="auto"/>
        <w:jc w:val="center"/>
        <w:rPr>
          <w:rFonts w:ascii="Times New Roman" w:cs="Times New Roman" w:hAnsi="Times New Roman" w:eastAsia="Times New Roman"/>
          <w:sz w:val="24"/>
          <w:szCs w:val="24"/>
        </w:rPr>
      </w:pPr>
      <w:r>
        <w:rPr>
          <w:rFonts w:ascii="Times New Roman" w:hAnsi="Times New Roman" w:hint="default"/>
          <w:sz w:val="24"/>
          <w:szCs w:val="24"/>
          <w:rtl w:val="0"/>
          <w:lang w:val="it-IT"/>
        </w:rPr>
        <w:t>“</w:t>
      </w:r>
      <w:r>
        <w:rPr>
          <w:rFonts w:ascii="Times New Roman" w:hAnsi="Times New Roman"/>
          <w:sz w:val="24"/>
          <w:szCs w:val="24"/>
          <w:rtl w:val="0"/>
          <w:lang w:val="it-IT"/>
        </w:rPr>
        <w:t>Nowicky Pharma</w:t>
      </w:r>
      <w:r>
        <w:rPr>
          <w:rFonts w:ascii="Times New Roman" w:hAnsi="Times New Roman" w:hint="default"/>
          <w:sz w:val="24"/>
          <w:szCs w:val="24"/>
          <w:rtl w:val="0"/>
          <w:lang w:val="it-IT"/>
        </w:rPr>
        <w:t>”</w:t>
      </w:r>
      <w:r>
        <w:rPr>
          <w:rFonts w:ascii="Times New Roman" w:hAnsi="Times New Roman"/>
          <w:sz w:val="24"/>
          <w:szCs w:val="24"/>
          <w:rtl w:val="0"/>
          <w:lang w:val="it-IT"/>
        </w:rPr>
        <w:t>/ Ukrainian Anti-Cancer Institute,</w:t>
      </w:r>
      <w:r>
        <w:rPr>
          <w:rFonts w:ascii="Times New Roman" w:hAnsi="Times New Roman"/>
          <w:sz w:val="24"/>
          <w:szCs w:val="24"/>
          <w:rtl w:val="0"/>
          <w:lang w:val="en-US"/>
        </w:rPr>
        <w:t xml:space="preserve"> </w:t>
      </w:r>
    </w:p>
    <w:p>
      <w:pPr>
        <w:pStyle w:val="Body"/>
        <w:spacing w:after="0" w:line="24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 xml:space="preserve">Margareten Street 7, A-1040, </w:t>
      </w:r>
      <w:r>
        <w:rPr>
          <w:rFonts w:ascii="Times New Roman" w:hAnsi="Times New Roman"/>
          <w:sz w:val="24"/>
          <w:szCs w:val="24"/>
          <w:rtl w:val="0"/>
          <w:lang w:val="it-IT"/>
        </w:rPr>
        <w:t>Vienna, Austria</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vertAlign w:val="superscript"/>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p>
    <w:p>
      <w:pPr>
        <w:pStyle w:val="HTML Preformatted"/>
        <w:tabs>
          <w:tab w:val="left" w:pos="4374"/>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Abstract (not more than 300 words)</w:t>
      </w:r>
    </w:p>
    <w:p>
      <w:pPr>
        <w:pStyle w:val="HTML Preformatted"/>
        <w:tabs>
          <w:tab w:val="left" w:pos="4374"/>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Default"/>
        <w:bidi w:val="0"/>
        <w:ind w:left="0" w:right="0" w:firstLine="0"/>
        <w:jc w:val="left"/>
        <w:rPr>
          <w:rFonts w:ascii="Times New Roman" w:cs="Times New Roman" w:hAnsi="Times New Roman" w:eastAsia="Times New Roman"/>
          <w:sz w:val="24"/>
          <w:szCs w:val="24"/>
          <w:u w:color="0000ff"/>
          <w:rtl w:val="0"/>
          <w:lang w:val="en-US"/>
        </w:rPr>
      </w:pPr>
      <w:r>
        <w:rPr>
          <w:rFonts w:ascii="Times New Roman" w:hAnsi="Times New Roman"/>
          <w:sz w:val="24"/>
          <w:szCs w:val="24"/>
          <w:u w:color="0000ff"/>
          <w:rtl w:val="0"/>
          <w:lang w:val="en-US"/>
        </w:rPr>
        <w:t>Dendritic cells are immune cells that act as messengers between the innate and adaptive immunity. Their main function is to process antigen material and present it on the surface to other cells of the immune system, thus functioning as antigen</w:t>
      </w:r>
      <w:r>
        <w:rPr>
          <w:rFonts w:ascii="Arial Unicode MS" w:cs="Arial Unicode MS" w:hAnsi="Arial Unicode MS" w:eastAsia="Arial Unicode MS" w:hint="default"/>
          <w:b w:val="0"/>
          <w:bCs w:val="0"/>
          <w:i w:val="0"/>
          <w:iCs w:val="0"/>
          <w:sz w:val="24"/>
          <w:szCs w:val="24"/>
          <w:u w:color="0000ff"/>
          <w:rtl w:val="0"/>
          <w:lang w:val="en-US"/>
        </w:rPr>
        <w:t>‐</w:t>
      </w:r>
      <w:r>
        <w:rPr>
          <w:rFonts w:ascii="Times New Roman" w:hAnsi="Times New Roman"/>
          <w:sz w:val="24"/>
          <w:szCs w:val="24"/>
          <w:u w:color="0000ff"/>
          <w:rtl w:val="0"/>
          <w:lang w:val="en-US"/>
        </w:rPr>
        <w:t>presenting cells and are seen as the most potent population executing this function. In the experiments with the mononuclears from the peripheric blood of healthy persons the effect of the anti-cancer preparation NSC</w:t>
      </w:r>
      <w:r>
        <w:rPr>
          <w:rFonts w:ascii="Times New Roman" w:hAnsi="Times New Roman"/>
          <w:sz w:val="24"/>
          <w:szCs w:val="24"/>
          <w:u w:color="0000ff"/>
          <w:rtl w:val="0"/>
          <w:lang w:val="en-US"/>
        </w:rPr>
        <w:t>-</w:t>
      </w:r>
      <w:r>
        <w:rPr>
          <w:rFonts w:ascii="Times New Roman" w:hAnsi="Times New Roman"/>
          <w:sz w:val="24"/>
          <w:szCs w:val="24"/>
          <w:u w:color="0000ff"/>
          <w:rtl w:val="0"/>
          <w:lang w:val="en-US"/>
        </w:rPr>
        <w:t>631570 (Ukrain) on the phenotypic and functional properties of dendritic cells was studied. The most prominent induction of the expression of the cell surface molecules CD86 and HLA</w:t>
      </w:r>
      <w:r>
        <w:rPr>
          <w:rFonts w:ascii="Arial Unicode MS" w:cs="Arial Unicode MS" w:hAnsi="Arial Unicode MS" w:eastAsia="Arial Unicode MS" w:hint="default"/>
          <w:b w:val="0"/>
          <w:bCs w:val="0"/>
          <w:i w:val="0"/>
          <w:iCs w:val="0"/>
          <w:sz w:val="24"/>
          <w:szCs w:val="24"/>
          <w:u w:color="0000ff"/>
          <w:rtl w:val="0"/>
          <w:lang w:val="en-US"/>
        </w:rPr>
        <w:t>‐</w:t>
      </w:r>
      <w:r>
        <w:rPr>
          <w:rFonts w:ascii="Times New Roman" w:hAnsi="Times New Roman"/>
          <w:sz w:val="24"/>
          <w:szCs w:val="24"/>
          <w:u w:color="0000ff"/>
          <w:rtl w:val="0"/>
          <w:lang w:val="en-US"/>
        </w:rPr>
        <w:t>DR was achieved with NSC</w:t>
      </w:r>
      <w:r>
        <w:rPr>
          <w:rFonts w:ascii="Times New Roman" w:hAnsi="Times New Roman"/>
          <w:sz w:val="24"/>
          <w:szCs w:val="24"/>
          <w:u w:color="0000ff"/>
          <w:rtl w:val="0"/>
          <w:lang w:val="en-US"/>
        </w:rPr>
        <w:t>-</w:t>
      </w:r>
      <w:r>
        <w:rPr>
          <w:rFonts w:ascii="Times New Roman" w:hAnsi="Times New Roman"/>
          <w:sz w:val="24"/>
          <w:szCs w:val="24"/>
          <w:u w:color="0000ff"/>
          <w:rtl w:val="0"/>
          <w:lang w:val="en-US"/>
        </w:rPr>
        <w:t xml:space="preserve">631570 at the lowest and highest concentration, 0.6 </w:t>
      </w:r>
      <w:r>
        <w:rPr>
          <w:rFonts w:ascii="Times New Roman" w:hAnsi="Times New Roman" w:hint="default"/>
          <w:sz w:val="24"/>
          <w:szCs w:val="24"/>
          <w:u w:color="0000ff"/>
          <w:rtl w:val="0"/>
          <w:lang w:val="en-US"/>
        </w:rPr>
        <w:t>μ</w:t>
      </w:r>
      <w:r>
        <w:rPr>
          <w:rFonts w:ascii="Times New Roman" w:hAnsi="Times New Roman"/>
          <w:sz w:val="24"/>
          <w:szCs w:val="24"/>
          <w:u w:color="0000ff"/>
          <w:rtl w:val="0"/>
          <w:lang w:val="en-US"/>
        </w:rPr>
        <w:t xml:space="preserve">g/mL and 10 </w:t>
      </w:r>
      <w:r>
        <w:rPr>
          <w:rFonts w:ascii="Times New Roman" w:hAnsi="Times New Roman" w:hint="default"/>
          <w:sz w:val="24"/>
          <w:szCs w:val="24"/>
          <w:u w:color="0000ff"/>
          <w:rtl w:val="0"/>
          <w:lang w:val="en-US"/>
        </w:rPr>
        <w:t>μ</w:t>
      </w:r>
      <w:r>
        <w:rPr>
          <w:rFonts w:ascii="Times New Roman" w:hAnsi="Times New Roman"/>
          <w:sz w:val="24"/>
          <w:szCs w:val="24"/>
          <w:u w:color="0000ff"/>
          <w:rtl w:val="0"/>
          <w:lang w:val="en-US"/>
        </w:rPr>
        <w:t xml:space="preserve">g/mL, respectively. Lipopolysaccharide as standard comparative agent induced similar increase of the cell surface receptors. The proliferation index of the incubated lymphocytes was used as the indicator of the dendritic cells activity. After addition of NSC631570 to the incubated dendritic cells, the lymphocyte proliferation index increased from 22.6% up to 32.30% at 0.6 </w:t>
      </w:r>
      <w:r>
        <w:rPr>
          <w:rFonts w:ascii="Times New Roman" w:hAnsi="Times New Roman" w:hint="default"/>
          <w:sz w:val="24"/>
          <w:szCs w:val="24"/>
          <w:u w:color="0000ff"/>
          <w:rtl w:val="0"/>
          <w:lang w:val="en-US"/>
        </w:rPr>
        <w:t>μ</w:t>
      </w:r>
      <w:r>
        <w:rPr>
          <w:rFonts w:ascii="Times New Roman" w:hAnsi="Times New Roman"/>
          <w:sz w:val="24"/>
          <w:szCs w:val="24"/>
          <w:u w:color="0000ff"/>
          <w:rtl w:val="0"/>
          <w:lang w:val="en-US"/>
        </w:rPr>
        <w:t xml:space="preserve">g/mL or 29.34% at 10 </w:t>
      </w:r>
      <w:r>
        <w:rPr>
          <w:rFonts w:ascii="Times New Roman" w:hAnsi="Times New Roman" w:hint="default"/>
          <w:sz w:val="24"/>
          <w:szCs w:val="24"/>
          <w:u w:color="0000ff"/>
          <w:rtl w:val="0"/>
          <w:lang w:val="en-US"/>
        </w:rPr>
        <w:t>μ</w:t>
      </w:r>
      <w:r>
        <w:rPr>
          <w:rFonts w:ascii="Times New Roman" w:hAnsi="Times New Roman"/>
          <w:sz w:val="24"/>
          <w:szCs w:val="24"/>
          <w:u w:color="0000ff"/>
          <w:rtl w:val="0"/>
          <w:lang w:val="en-US"/>
        </w:rPr>
        <w:t>g/mL, respectively. These values are similar to the one of 31.82%, i.e. proliferation index achieved at the</w:t>
      </w:r>
    </w:p>
    <w:p>
      <w:pPr>
        <w:pStyle w:val="Default"/>
        <w:bidi w:val="0"/>
        <w:ind w:left="0" w:right="0" w:firstLine="0"/>
        <w:jc w:val="left"/>
        <w:rPr>
          <w:rFonts w:ascii="Times New Roman" w:cs="Times New Roman" w:hAnsi="Times New Roman" w:eastAsia="Times New Roman"/>
          <w:sz w:val="24"/>
          <w:szCs w:val="24"/>
          <w:u w:color="000000"/>
          <w:rtl w:val="0"/>
          <w:lang w:val="en-US"/>
        </w:rPr>
      </w:pPr>
      <w:r>
        <w:rPr>
          <w:rFonts w:ascii="Times New Roman" w:hAnsi="Times New Roman"/>
          <w:sz w:val="24"/>
          <w:szCs w:val="24"/>
          <w:u w:color="0000ff"/>
          <w:rtl w:val="0"/>
          <w:lang w:val="en-US"/>
        </w:rPr>
        <w:t>incubation of lymphocytes with the phytohemagglutinin. The authors concluded dendritic cells incubated with NSC</w:t>
      </w:r>
      <w:r>
        <w:rPr>
          <w:rFonts w:ascii="Times New Roman" w:hAnsi="Times New Roman"/>
          <w:sz w:val="24"/>
          <w:szCs w:val="24"/>
          <w:u w:color="0000ff"/>
          <w:rtl w:val="0"/>
          <w:lang w:val="en-US"/>
        </w:rPr>
        <w:t>-</w:t>
      </w:r>
      <w:r>
        <w:rPr>
          <w:rFonts w:ascii="Times New Roman" w:hAnsi="Times New Roman"/>
          <w:sz w:val="24"/>
          <w:szCs w:val="24"/>
          <w:u w:color="0000ff"/>
          <w:rtl w:val="0"/>
          <w:lang w:val="en-US"/>
        </w:rPr>
        <w:t>631570 are strong stimulators of the lymphocyte proliferation. They postulate also NSC</w:t>
      </w:r>
      <w:r>
        <w:rPr>
          <w:rFonts w:ascii="Times New Roman" w:hAnsi="Times New Roman"/>
          <w:sz w:val="24"/>
          <w:szCs w:val="24"/>
          <w:u w:color="0000ff"/>
          <w:rtl w:val="0"/>
          <w:lang w:val="en-US"/>
        </w:rPr>
        <w:t>-</w:t>
      </w:r>
      <w:r>
        <w:rPr>
          <w:rFonts w:ascii="Times New Roman" w:hAnsi="Times New Roman"/>
          <w:sz w:val="24"/>
          <w:szCs w:val="24"/>
          <w:u w:color="0000ff"/>
          <w:rtl w:val="0"/>
          <w:lang w:val="en-US"/>
        </w:rPr>
        <w:t>631570 can take an important part in the immune therapy of cancer</w:t>
      </w:r>
      <w:r>
        <w:rPr>
          <w:rFonts w:ascii="Times New Roman" w:cs="Times New Roman" w:hAnsi="Times New Roman" w:eastAsia="Times New Roman"/>
          <w:sz w:val="24"/>
          <w:szCs w:val="24"/>
          <w:u w:color="0000ff"/>
          <w:rtl w:val="0"/>
          <w:lang w:val="en-US"/>
        </w:rPr>
        <w:drawing>
          <wp:anchor distT="152400" distB="152400" distL="152400" distR="152400" simplePos="0" relativeHeight="251660288" behindDoc="0" locked="0" layoutInCell="1" allowOverlap="1">
            <wp:simplePos x="0" y="0"/>
            <wp:positionH relativeFrom="margin">
              <wp:posOffset>751675</wp:posOffset>
            </wp:positionH>
            <wp:positionV relativeFrom="line">
              <wp:posOffset>342887</wp:posOffset>
            </wp:positionV>
            <wp:extent cx="3421142" cy="2605090"/>
            <wp:effectExtent l="0" t="0" r="0" b="0"/>
            <wp:wrapThrough wrapText="bothSides" distL="152400" distR="152400">
              <wp:wrapPolygon edited="1">
                <wp:start x="0" y="0"/>
                <wp:lineTo x="21600" y="0"/>
                <wp:lineTo x="21600" y="21600"/>
                <wp:lineTo x="0" y="21600"/>
                <wp:lineTo x="0" y="0"/>
              </wp:wrapPolygon>
            </wp:wrapThrough>
            <wp:docPr id="1073741826" name="officeArt object" descr="Screen Shot 2018-05-24 at 21.18.25.png"/>
            <wp:cNvGraphicFramePr/>
            <a:graphic xmlns:a="http://schemas.openxmlformats.org/drawingml/2006/main">
              <a:graphicData uri="http://schemas.openxmlformats.org/drawingml/2006/picture">
                <pic:pic xmlns:pic="http://schemas.openxmlformats.org/drawingml/2006/picture">
                  <pic:nvPicPr>
                    <pic:cNvPr id="1073741826" name="Screen Shot 2018-05-24 at 21.18.25.png" descr="Screen Shot 2018-05-24 at 21.18.25.png"/>
                    <pic:cNvPicPr>
                      <a:picLocks noChangeAspect="1"/>
                    </pic:cNvPicPr>
                  </pic:nvPicPr>
                  <pic:blipFill>
                    <a:blip r:embed="rId4">
                      <a:extLst/>
                    </a:blip>
                    <a:stretch>
                      <a:fillRect/>
                    </a:stretch>
                  </pic:blipFill>
                  <pic:spPr>
                    <a:xfrm>
                      <a:off x="0" y="0"/>
                      <a:ext cx="3421142" cy="2605090"/>
                    </a:xfrm>
                    <a:prstGeom prst="rect">
                      <a:avLst/>
                    </a:prstGeom>
                    <a:ln w="12700" cap="flat">
                      <a:noFill/>
                      <a:miter lim="400000"/>
                    </a:ln>
                    <a:effectLst/>
                  </pic:spPr>
                </pic:pic>
              </a:graphicData>
            </a:graphic>
          </wp:anchor>
        </w:drawing>
      </w:r>
      <w:r>
        <w:rPr>
          <w:rFonts w:ascii="Times New Roman" w:hAnsi="Times New Roman"/>
          <w:sz w:val="24"/>
          <w:szCs w:val="24"/>
          <w:u w:color="0000ff"/>
          <w:rtl w:val="0"/>
          <w:lang w:val="en-US"/>
        </w:rPr>
        <w:t xml:space="preserve"> [</w:t>
      </w:r>
      <w:r>
        <w:rPr>
          <w:rFonts w:ascii="Times New Roman" w:cs="Times New Roman" w:hAnsi="Times New Roman" w:eastAsia="Times New Roman"/>
          <w:sz w:val="24"/>
          <w:szCs w:val="24"/>
          <w:u w:color="0000ff"/>
          <w:vertAlign w:val="superscript"/>
          <w:rtl w:val="0"/>
          <w:lang w:val="en-US"/>
        </w:rPr>
        <w:footnoteReference w:id="1"/>
      </w:r>
      <w:r>
        <w:rPr>
          <w:rStyle w:val="None"/>
          <w:rFonts w:ascii="Times New Roman" w:hAnsi="Times New Roman"/>
          <w:sz w:val="24"/>
          <w:szCs w:val="24"/>
          <w:u w:color="0000ff"/>
          <w:rtl w:val="0"/>
          <w:lang w:val="en-US"/>
        </w:rPr>
        <w:t>].</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Fonts w:ascii="Times New Roman" w:hAnsi="Times New Roman"/>
          <w:sz w:val="24"/>
          <w:szCs w:val="24"/>
          <w:rtl w:val="0"/>
          <w:lang w:val="en-US"/>
        </w:rPr>
        <w:t>Keywords</w:t>
      </w:r>
      <w:r>
        <w:rPr>
          <w:rFonts w:ascii="Times New Roman" w:hAnsi="Times New Roman" w:hint="default"/>
          <w:sz w:val="24"/>
          <w:szCs w:val="24"/>
          <w:rtl w:val="0"/>
          <w:lang w:val="en-US"/>
        </w:rPr>
        <w:t>—</w:t>
      </w:r>
      <w:r>
        <w:rPr>
          <w:rStyle w:val="None"/>
          <w:rFonts w:ascii="Times New Roman" w:hAnsi="Times New Roman"/>
          <w:i w:val="1"/>
          <w:iCs w:val="1"/>
          <w:sz w:val="24"/>
          <w:szCs w:val="24"/>
          <w:rtl w:val="0"/>
          <w:lang w:val="en-US"/>
        </w:rPr>
        <w:t xml:space="preserve"> anticancer, proton, </w:t>
      </w:r>
      <w:r>
        <w:rPr>
          <w:rStyle w:val="None"/>
          <w:rFonts w:ascii="Times New Roman" w:hAnsi="Times New Roman"/>
          <w:i w:val="1"/>
          <w:iCs w:val="1"/>
          <w:sz w:val="24"/>
          <w:szCs w:val="24"/>
          <w:u w:color="0000ff"/>
          <w:rtl w:val="0"/>
          <w:lang w:val="en-US"/>
        </w:rPr>
        <w:t>NSC</w:t>
      </w:r>
      <w:r>
        <w:rPr>
          <w:rStyle w:val="None"/>
          <w:rFonts w:ascii="Times New Roman" w:hAnsi="Times New Roman"/>
          <w:i w:val="1"/>
          <w:iCs w:val="1"/>
          <w:sz w:val="24"/>
          <w:szCs w:val="24"/>
          <w:u w:color="0000ff"/>
          <w:rtl w:val="0"/>
          <w:lang w:val="en-US"/>
        </w:rPr>
        <w:t>-</w:t>
      </w:r>
      <w:r>
        <w:rPr>
          <w:rStyle w:val="None"/>
          <w:rFonts w:ascii="Times New Roman" w:hAnsi="Times New Roman"/>
          <w:i w:val="1"/>
          <w:iCs w:val="1"/>
          <w:sz w:val="24"/>
          <w:szCs w:val="24"/>
          <w:u w:color="0000ff"/>
          <w:rtl w:val="0"/>
          <w:lang w:val="en-US"/>
        </w:rPr>
        <w:t>631570</w:t>
      </w:r>
      <w:r>
        <w:rPr>
          <w:rStyle w:val="None"/>
          <w:rFonts w:ascii="Times New Roman" w:hAnsi="Times New Roman"/>
          <w:sz w:val="24"/>
          <w:szCs w:val="24"/>
          <w:u w:color="0000ff"/>
          <w:rtl w:val="0"/>
          <w:lang w:val="en-US"/>
        </w:rPr>
        <w:t xml:space="preserve">, </w:t>
      </w:r>
      <w:r>
        <w:rPr>
          <w:rStyle w:val="None"/>
          <w:rFonts w:ascii="Times New Roman" w:hAnsi="Times New Roman"/>
          <w:i w:val="1"/>
          <w:iCs w:val="1"/>
          <w:sz w:val="24"/>
          <w:szCs w:val="24"/>
          <w:rtl w:val="0"/>
          <w:lang w:val="en-US"/>
        </w:rPr>
        <w:t>Ukrain</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Style w:val="None"/>
          <w:rFonts w:ascii="Times New Roman" w:cs="Times New Roman" w:hAnsi="Times New Roman" w:eastAsia="Times New Roman"/>
          <w:b w:val="1"/>
          <w:bCs w:val="1"/>
          <w:sz w:val="24"/>
          <w:szCs w:val="24"/>
        </w:rPr>
      </w:pPr>
      <w:r>
        <w:rPr>
          <w:rStyle w:val="None"/>
          <w:rFonts w:ascii="Times New Roman" w:hAnsi="Times New Roman"/>
          <w:b w:val="1"/>
          <w:bCs w:val="1"/>
          <w:sz w:val="24"/>
          <w:szCs w:val="24"/>
          <w:rtl w:val="0"/>
          <w:lang w:val="en-US"/>
        </w:rPr>
        <w:t>Professional Biography (100-150 words)</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Style w:val="None"/>
          <w:rFonts w:ascii="Times New Roman" w:hAnsi="Times New Roman"/>
          <w:b w:val="1"/>
          <w:bCs w:val="1"/>
          <w:i w:val="1"/>
          <w:iCs w:val="1"/>
          <w:sz w:val="24"/>
          <w:szCs w:val="24"/>
          <w:rtl w:val="0"/>
          <w:lang w:val="it-IT"/>
        </w:rPr>
        <w:t>Dr. Wassil Nowicky</w:t>
      </w:r>
      <w:r>
        <w:rPr>
          <w:rStyle w:val="None"/>
          <w:rFonts w:ascii="Times New Roman" w:hAnsi="Times New Roman" w:hint="default"/>
          <w:b w:val="1"/>
          <w:bCs w:val="1"/>
          <w:i w:val="1"/>
          <w:iCs w:val="1"/>
          <w:sz w:val="24"/>
          <w:szCs w:val="24"/>
          <w:rtl w:val="0"/>
          <w:lang w:val="en-US"/>
        </w:rPr>
        <w:t xml:space="preserve"> —</w:t>
      </w:r>
      <w:r>
        <w:rPr>
          <w:rStyle w:val="None"/>
          <w:rFonts w:ascii="Times New Roman" w:hAnsi="Times New Roman"/>
          <w:sz w:val="24"/>
          <w:szCs w:val="24"/>
          <w:rtl w:val="0"/>
          <w:lang w:val="it-IT"/>
        </w:rPr>
        <w:t xml:space="preserve"> Dipl. Ing., Dr. techn., DDDr. h. c., Director of </w:t>
      </w:r>
      <w:r>
        <w:rPr>
          <w:rStyle w:val="None"/>
          <w:rFonts w:ascii="Times New Roman" w:hAnsi="Times New Roman" w:hint="default"/>
          <w:sz w:val="24"/>
          <w:szCs w:val="24"/>
          <w:rtl w:val="0"/>
          <w:lang w:val="it-IT"/>
        </w:rPr>
        <w:t>“</w:t>
      </w:r>
      <w:r>
        <w:rPr>
          <w:rStyle w:val="None"/>
          <w:rFonts w:ascii="Times New Roman" w:hAnsi="Times New Roman"/>
          <w:sz w:val="24"/>
          <w:szCs w:val="24"/>
          <w:rtl w:val="0"/>
          <w:lang w:val="it-IT"/>
        </w:rPr>
        <w:t>Nowicky Pharma</w:t>
      </w:r>
      <w:r>
        <w:rPr>
          <w:rStyle w:val="None"/>
          <w:rFonts w:ascii="Times New Roman" w:hAnsi="Times New Roman" w:hint="default"/>
          <w:sz w:val="24"/>
          <w:szCs w:val="24"/>
          <w:rtl w:val="0"/>
          <w:lang w:val="it-IT"/>
        </w:rPr>
        <w:t xml:space="preserve">” </w:t>
      </w:r>
      <w:r>
        <w:rPr>
          <w:rStyle w:val="None"/>
          <w:rFonts w:ascii="Times New Roman" w:hAnsi="Times New Roman"/>
          <w:sz w:val="24"/>
          <w:szCs w:val="24"/>
          <w:rtl w:val="0"/>
          <w:lang w:val="it-IT"/>
        </w:rPr>
        <w:t xml:space="preserve">and President of the Ukrainian Anti-Cancer Institute (Vienna, Austria). Has finished his study at the Radiotechnical Faculty of the Technical University of Lviv (Ukraine) with the end of 1955 with graduation to </w:t>
      </w:r>
      <w:r>
        <w:rPr>
          <w:rStyle w:val="None"/>
          <w:rFonts w:ascii="Times New Roman" w:hAnsi="Times New Roman" w:hint="default"/>
          <w:sz w:val="24"/>
          <w:szCs w:val="24"/>
          <w:rtl w:val="0"/>
          <w:lang w:val="it-IT"/>
        </w:rPr>
        <w:t>“</w:t>
      </w:r>
      <w:r>
        <w:rPr>
          <w:rStyle w:val="None"/>
          <w:rFonts w:ascii="Times New Roman" w:hAnsi="Times New Roman"/>
          <w:sz w:val="24"/>
          <w:szCs w:val="24"/>
          <w:rtl w:val="0"/>
          <w:lang w:val="it-IT"/>
        </w:rPr>
        <w:t>Diplomingeniueur</w:t>
      </w:r>
      <w:r>
        <w:rPr>
          <w:rStyle w:val="None"/>
          <w:rFonts w:ascii="Times New Roman" w:hAnsi="Times New Roman" w:hint="default"/>
          <w:sz w:val="24"/>
          <w:szCs w:val="24"/>
          <w:rtl w:val="0"/>
          <w:lang w:val="it-IT"/>
        </w:rPr>
        <w:t xml:space="preserve">” </w:t>
      </w:r>
      <w:r>
        <w:rPr>
          <w:rStyle w:val="None"/>
          <w:rFonts w:ascii="Times New Roman" w:hAnsi="Times New Roman"/>
          <w:sz w:val="24"/>
          <w:szCs w:val="24"/>
          <w:rtl w:val="0"/>
          <w:lang w:val="it-IT"/>
        </w:rPr>
        <w:t xml:space="preserve">in 1960 which title was nostrificated in Austria in 1975. </w:t>
      </w:r>
      <w:r>
        <w:rPr>
          <w:rStyle w:val="None"/>
          <w:rFonts w:ascii="Times New Roman" w:hAnsi="Times New Roman"/>
          <w:sz w:val="24"/>
          <w:szCs w:val="24"/>
          <w:rtl w:val="0"/>
          <w:lang w:val="en-US"/>
        </w:rPr>
        <w:t>Dr. Wassil Nowicky became the very first scientist in the development of the anticancer protonic therapy and is the i</w:t>
      </w:r>
      <w:r>
        <w:rPr>
          <w:rStyle w:val="None"/>
          <w:rFonts w:ascii="Times New Roman" w:hAnsi="Times New Roman"/>
          <w:sz w:val="24"/>
          <w:szCs w:val="24"/>
          <w:rtl w:val="0"/>
          <w:lang w:val="it-IT"/>
        </w:rPr>
        <w:t xml:space="preserve">nventor of </w:t>
      </w:r>
      <w:r>
        <w:rPr>
          <w:rStyle w:val="None"/>
          <w:rFonts w:ascii="Times New Roman" w:hAnsi="Times New Roman"/>
          <w:sz w:val="24"/>
          <w:szCs w:val="24"/>
          <w:rtl w:val="0"/>
          <w:lang w:val="en-US"/>
        </w:rPr>
        <w:t xml:space="preserve">the preparation against cancer with a selective effect </w:t>
      </w:r>
      <w:r>
        <w:rPr>
          <w:rStyle w:val="None"/>
          <w:rFonts w:ascii="Times New Roman" w:hAnsi="Times New Roman"/>
          <w:sz w:val="24"/>
          <w:szCs w:val="24"/>
          <w:rtl w:val="0"/>
          <w:lang w:val="it-IT"/>
        </w:rPr>
        <w:t xml:space="preserve">on basis of celandine alkaloids </w:t>
      </w:r>
      <w:r>
        <w:rPr>
          <w:rStyle w:val="None"/>
          <w:rFonts w:ascii="Times New Roman" w:hAnsi="Times New Roman" w:hint="default"/>
          <w:sz w:val="24"/>
          <w:szCs w:val="24"/>
          <w:rtl w:val="0"/>
          <w:lang w:val="it-IT"/>
        </w:rPr>
        <w:t>“</w:t>
      </w:r>
      <w:r>
        <w:rPr>
          <w:rStyle w:val="None"/>
          <w:rFonts w:ascii="Times New Roman" w:hAnsi="Times New Roman"/>
          <w:sz w:val="24"/>
          <w:szCs w:val="24"/>
          <w:rtl w:val="0"/>
          <w:lang w:val="it-IT"/>
        </w:rPr>
        <w:t>NSC-631570</w:t>
      </w:r>
      <w:r>
        <w:rPr>
          <w:rStyle w:val="None"/>
          <w:rFonts w:ascii="Times New Roman" w:hAnsi="Times New Roman" w:hint="default"/>
          <w:sz w:val="24"/>
          <w:szCs w:val="24"/>
          <w:rtl w:val="0"/>
          <w:lang w:val="it-IT"/>
        </w:rPr>
        <w:t>”</w:t>
      </w:r>
      <w:r>
        <w:rPr>
          <w:rStyle w:val="None"/>
          <w:rFonts w:ascii="Times New Roman" w:hAnsi="Times New Roman"/>
          <w:sz w:val="24"/>
          <w:szCs w:val="24"/>
          <w:rtl w:val="0"/>
          <w:lang w:val="en-US"/>
        </w:rPr>
        <w:t xml:space="preserve">. He used the factor that cancer cells are more negative charged than normal cells and invented the Celandine alkaloid with a positive charge thanks to which it accumulates in cancer cells very fast. </w:t>
      </w:r>
      <w:r>
        <w:rPr>
          <w:rStyle w:val="None"/>
          <w:rFonts w:ascii="Times New Roman" w:hAnsi="Times New Roman"/>
          <w:sz w:val="24"/>
          <w:szCs w:val="24"/>
          <w:rtl w:val="0"/>
          <w:lang w:val="it-IT"/>
        </w:rPr>
        <w:t xml:space="preserve">Author of over 300 scientific articles dedicated to cancer research. Dr. Wassil Nowicky is a real member of the New York Academy of Sciences, member of the European Union for applied immunology and of the American Association for scientific progress, honorary doctor of the Janka Kupala University in Hrodno, doctor </w:t>
      </w:r>
      <w:r>
        <w:rPr>
          <w:rStyle w:val="None"/>
          <w:rFonts w:ascii="Times New Roman" w:hAnsi="Times New Roman" w:hint="default"/>
          <w:sz w:val="24"/>
          <w:szCs w:val="24"/>
          <w:rtl w:val="0"/>
          <w:lang w:val="it-IT"/>
        </w:rPr>
        <w:t>“</w:t>
      </w:r>
      <w:r>
        <w:rPr>
          <w:rStyle w:val="None"/>
          <w:rFonts w:ascii="Times New Roman" w:hAnsi="Times New Roman"/>
          <w:sz w:val="24"/>
          <w:szCs w:val="24"/>
          <w:rtl w:val="0"/>
          <w:lang w:val="it-IT"/>
        </w:rPr>
        <w:t>honoris causa</w:t>
      </w:r>
      <w:r>
        <w:rPr>
          <w:rStyle w:val="None"/>
          <w:rFonts w:ascii="Times New Roman" w:hAnsi="Times New Roman" w:hint="default"/>
          <w:sz w:val="24"/>
          <w:szCs w:val="24"/>
          <w:rtl w:val="0"/>
          <w:lang w:val="it-IT"/>
        </w:rPr>
        <w:t xml:space="preserve">” </w:t>
      </w:r>
      <w:r>
        <w:rPr>
          <w:rStyle w:val="None"/>
          <w:rFonts w:ascii="Times New Roman" w:hAnsi="Times New Roman"/>
          <w:sz w:val="24"/>
          <w:szCs w:val="24"/>
          <w:rtl w:val="0"/>
          <w:lang w:val="it-IT"/>
        </w:rPr>
        <w:t>of the Open international university on complex medicine in Colombo, honorary member of the Austrian Society of a name od Albert Schweizer. He has received the award for merits of National guild of pharmasists of America. the award of Austrian Society of sanitary, hygiene and public health services and others.</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Fonts w:ascii="Times New Roman" w:cs="Times New Roman" w:hAnsi="Times New Roman" w:eastAsia="Times New Roman"/>
          <w:sz w:val="24"/>
          <w:szCs w:val="24"/>
        </w:rPr>
        <w:drawing>
          <wp:anchor distT="0" distB="0" distL="0" distR="0" simplePos="0" relativeHeight="251659264" behindDoc="0" locked="0" layoutInCell="1" allowOverlap="1">
            <wp:simplePos x="0" y="0"/>
            <wp:positionH relativeFrom="margin">
              <wp:posOffset>3427730</wp:posOffset>
            </wp:positionH>
            <wp:positionV relativeFrom="line">
              <wp:posOffset>341850</wp:posOffset>
            </wp:positionV>
            <wp:extent cx="2388007" cy="2031190"/>
            <wp:effectExtent l="0" t="0" r="0" b="0"/>
            <wp:wrapNone/>
            <wp:docPr id="1073741827" name="officeArt object" descr="novitski2"/>
            <wp:cNvGraphicFramePr/>
            <a:graphic xmlns:a="http://schemas.openxmlformats.org/drawingml/2006/main">
              <a:graphicData uri="http://schemas.openxmlformats.org/drawingml/2006/picture">
                <pic:pic xmlns:pic="http://schemas.openxmlformats.org/drawingml/2006/picture">
                  <pic:nvPicPr>
                    <pic:cNvPr id="1073741827" name="novitski2" descr="novitski2"/>
                    <pic:cNvPicPr>
                      <a:picLocks noChangeAspect="1"/>
                    </pic:cNvPicPr>
                  </pic:nvPicPr>
                  <pic:blipFill>
                    <a:blip r:embed="rId5">
                      <a:extLst/>
                    </a:blip>
                    <a:stretch>
                      <a:fillRect/>
                    </a:stretch>
                  </pic:blipFill>
                  <pic:spPr>
                    <a:xfrm>
                      <a:off x="0" y="0"/>
                      <a:ext cx="2388007" cy="2031190"/>
                    </a:xfrm>
                    <a:prstGeom prst="rect">
                      <a:avLst/>
                    </a:prstGeom>
                    <a:ln w="12700" cap="flat">
                      <a:noFill/>
                      <a:miter lim="400000"/>
                    </a:ln>
                    <a:effectLst/>
                  </pic:spPr>
                </pic:pic>
              </a:graphicData>
            </a:graphic>
          </wp:anchor>
        </w:drawing>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Style w:val="None"/>
          <w:rFonts w:ascii="Arial Unicode MS" w:cs="Arial Unicode MS" w:hAnsi="Arial Unicode MS" w:eastAsia="Arial Unicode MS"/>
          <w:b w:val="0"/>
          <w:bCs w:val="0"/>
          <w:i w:val="0"/>
          <w:iCs w:val="0"/>
          <w:sz w:val="24"/>
          <w:szCs w:val="24"/>
        </w:rPr>
        <w:br w:type="textWrapping"/>
      </w:r>
      <w:r>
        <w:rPr>
          <w:rStyle w:val="None"/>
          <w:rFonts w:ascii="Times New Roman" w:hAnsi="Times New Roman"/>
          <w:b w:val="1"/>
          <w:bCs w:val="1"/>
          <w:sz w:val="24"/>
          <w:szCs w:val="24"/>
          <w:rtl w:val="0"/>
          <w:lang w:val="en-US"/>
        </w:rPr>
        <w:t xml:space="preserve">Presenting author details </w:t>
      </w:r>
      <w:r>
        <w:rPr>
          <w:rFonts w:ascii="Arial Unicode MS" w:cs="Arial Unicode MS" w:hAnsi="Arial Unicode MS" w:eastAsia="Arial Unicode MS"/>
          <w:b w:val="0"/>
          <w:bCs w:val="0"/>
          <w:i w:val="0"/>
          <w:iCs w:val="0"/>
          <w:sz w:val="24"/>
          <w:szCs w:val="24"/>
        </w:rPr>
        <w:br w:type="textWrapping"/>
      </w:r>
      <w:r>
        <w:rPr>
          <w:rFonts w:ascii="Times New Roman" w:hAnsi="Times New Roman"/>
          <w:sz w:val="24"/>
          <w:szCs w:val="24"/>
          <w:rtl w:val="0"/>
          <w:lang w:val="en-US"/>
        </w:rPr>
        <w:t>Full name: Dr. Wassil Nowicky</w:t>
      </w:r>
    </w:p>
    <w:p>
      <w:pPr>
        <w:pStyle w:val="Body"/>
        <w:spacing w:after="0" w:line="240" w:lineRule="auto"/>
        <w:rPr>
          <w:rFonts w:ascii="Times New Roman" w:cs="Times New Roman" w:hAnsi="Times New Roman" w:eastAsia="Times New Roman"/>
          <w:sz w:val="24"/>
          <w:szCs w:val="24"/>
          <w:lang w:val="de-DE"/>
        </w:rPr>
      </w:pPr>
      <w:r>
        <w:rPr>
          <w:rFonts w:ascii="Times New Roman" w:hAnsi="Times New Roman"/>
          <w:sz w:val="24"/>
          <w:szCs w:val="24"/>
          <w:rtl w:val="0"/>
          <w:lang w:val="de-DE"/>
        </w:rPr>
        <w:t xml:space="preserve">E-mail: </w:t>
      </w:r>
      <w:r>
        <w:rPr>
          <w:rStyle w:val="Hyperlink.1"/>
          <w:rFonts w:ascii="Times New Roman" w:cs="Times New Roman" w:hAnsi="Times New Roman" w:eastAsia="Times New Roman"/>
          <w:sz w:val="24"/>
          <w:szCs w:val="24"/>
          <w:lang w:val="de-DE"/>
        </w:rPr>
        <w:fldChar w:fldCharType="begin" w:fldLock="0"/>
      </w:r>
      <w:r>
        <w:rPr>
          <w:rStyle w:val="Hyperlink.1"/>
          <w:rFonts w:ascii="Times New Roman" w:cs="Times New Roman" w:hAnsi="Times New Roman" w:eastAsia="Times New Roman"/>
          <w:sz w:val="24"/>
          <w:szCs w:val="24"/>
          <w:lang w:val="de-DE"/>
        </w:rPr>
        <w:instrText xml:space="preserve"> HYPERLINK "mailto:dr.nowicky@yahoo.de"</w:instrText>
      </w:r>
      <w:r>
        <w:rPr>
          <w:rStyle w:val="Hyperlink.1"/>
          <w:rFonts w:ascii="Times New Roman" w:cs="Times New Roman" w:hAnsi="Times New Roman" w:eastAsia="Times New Roman"/>
          <w:sz w:val="24"/>
          <w:szCs w:val="24"/>
          <w:lang w:val="de-DE"/>
        </w:rPr>
        <w:fldChar w:fldCharType="separate" w:fldLock="0"/>
      </w:r>
      <w:r>
        <w:rPr>
          <w:rStyle w:val="Hyperlink.1"/>
          <w:rFonts w:ascii="Times New Roman" w:hAnsi="Times New Roman"/>
          <w:sz w:val="24"/>
          <w:szCs w:val="24"/>
          <w:rtl w:val="0"/>
          <w:lang w:val="de-DE"/>
        </w:rPr>
        <w:t>dr.nowicky@yahoo.de</w:t>
      </w:r>
      <w:r>
        <w:rPr>
          <w:rFonts w:ascii="Times New Roman" w:cs="Times New Roman" w:hAnsi="Times New Roman" w:eastAsia="Times New Roman"/>
          <w:sz w:val="24"/>
          <w:szCs w:val="24"/>
          <w:lang w:val="de-DE"/>
        </w:rPr>
        <w:fldChar w:fldCharType="end" w:fldLock="0"/>
      </w:r>
    </w:p>
    <w:p>
      <w:pPr>
        <w:pStyle w:val="Body"/>
        <w:spacing w:after="0" w:line="240" w:lineRule="auto"/>
        <w:rPr>
          <w:rStyle w:val="None"/>
          <w:rFonts w:ascii="Times New Roman" w:cs="Times New Roman" w:hAnsi="Times New Roman" w:eastAsia="Times New Roman"/>
          <w:b w:val="1"/>
          <w:bCs w:val="1"/>
          <w:sz w:val="24"/>
          <w:szCs w:val="24"/>
          <w:lang w:val="en-US"/>
        </w:rPr>
      </w:pPr>
      <w:r>
        <w:rPr>
          <w:rFonts w:ascii="Times New Roman" w:hAnsi="Times New Roman"/>
          <w:sz w:val="24"/>
          <w:szCs w:val="24"/>
          <w:rtl w:val="0"/>
          <w:lang w:val="en-US"/>
        </w:rPr>
        <w:t xml:space="preserve">Website: </w:t>
      </w:r>
      <w:r>
        <w:rPr>
          <w:rStyle w:val="Hyperlink.1"/>
          <w:rFonts w:ascii="Times New Roman" w:cs="Times New Roman" w:hAnsi="Times New Roman" w:eastAsia="Times New Roman"/>
          <w:sz w:val="24"/>
          <w:szCs w:val="24"/>
          <w:lang w:val="en-US"/>
        </w:rPr>
        <w:fldChar w:fldCharType="begin" w:fldLock="0"/>
      </w:r>
      <w:r>
        <w:rPr>
          <w:rStyle w:val="Hyperlink.1"/>
          <w:rFonts w:ascii="Times New Roman" w:cs="Times New Roman" w:hAnsi="Times New Roman" w:eastAsia="Times New Roman"/>
          <w:sz w:val="24"/>
          <w:szCs w:val="24"/>
          <w:lang w:val="en-US"/>
        </w:rPr>
        <w:instrText xml:space="preserve"> HYPERLINK "http://www.ukrin.com"</w:instrText>
      </w:r>
      <w:r>
        <w:rPr>
          <w:rStyle w:val="Hyperlink.1"/>
          <w:rFonts w:ascii="Times New Roman" w:cs="Times New Roman" w:hAnsi="Times New Roman" w:eastAsia="Times New Roman"/>
          <w:sz w:val="24"/>
          <w:szCs w:val="24"/>
          <w:lang w:val="en-US"/>
        </w:rPr>
        <w:fldChar w:fldCharType="separate" w:fldLock="0"/>
      </w:r>
      <w:r>
        <w:rPr>
          <w:rStyle w:val="Hyperlink.1"/>
          <w:rFonts w:ascii="Times New Roman" w:hAnsi="Times New Roman"/>
          <w:sz w:val="24"/>
          <w:szCs w:val="24"/>
          <w:rtl w:val="0"/>
          <w:lang w:val="en-US"/>
        </w:rPr>
        <w:t>www.ukrin.com</w:t>
      </w:r>
      <w:r>
        <w:rPr>
          <w:rFonts w:ascii="Times New Roman" w:cs="Times New Roman" w:hAnsi="Times New Roman" w:eastAsia="Times New Roman"/>
          <w:sz w:val="24"/>
          <w:szCs w:val="24"/>
          <w:lang w:val="en-US"/>
        </w:rPr>
        <w:fldChar w:fldCharType="end" w:fldLock="0"/>
      </w:r>
      <w:r>
        <w:rPr>
          <w:rFonts w:ascii="Times New Roman" w:hAnsi="Times New Roman"/>
          <w:sz w:val="24"/>
          <w:szCs w:val="24"/>
          <w:rtl w:val="0"/>
          <w:lang w:val="en-US"/>
        </w:rPr>
        <w:t xml:space="preserve"> </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Contact number: +436644020692</w:t>
      </w:r>
    </w:p>
    <w:p>
      <w:pPr>
        <w:pStyle w:val="Body"/>
        <w:spacing w:after="0" w:line="240" w:lineRule="auto"/>
        <w:rPr>
          <w:rFonts w:ascii="Times New Roman" w:cs="Times New Roman" w:hAnsi="Times New Roman" w:eastAsia="Times New Roman"/>
          <w:sz w:val="24"/>
          <w:szCs w:val="24"/>
          <w:lang w:val="en-US"/>
        </w:rPr>
      </w:pPr>
      <w:r>
        <w:rPr>
          <w:rFonts w:ascii="Times New Roman" w:hAnsi="Times New Roman"/>
          <w:sz w:val="24"/>
          <w:szCs w:val="24"/>
          <w:rtl w:val="0"/>
          <w:lang w:val="en-US"/>
        </w:rPr>
        <w:t>Session name/ number:</w:t>
      </w:r>
      <w:r>
        <w:rPr>
          <w:rFonts w:ascii="Arial Unicode MS" w:cs="Arial Unicode MS" w:hAnsi="Arial Unicode MS" w:eastAsia="Arial Unicode MS"/>
          <w:b w:val="0"/>
          <w:bCs w:val="0"/>
          <w:i w:val="0"/>
          <w:iCs w:val="0"/>
          <w:sz w:val="24"/>
          <w:szCs w:val="24"/>
          <w:lang w:val="en-US"/>
        </w:rPr>
        <w:br w:type="textWrapping"/>
      </w:r>
      <w:r>
        <w:rPr>
          <w:rFonts w:ascii="Times New Roman" w:hAnsi="Times New Roman"/>
          <w:sz w:val="24"/>
          <w:szCs w:val="24"/>
          <w:rtl w:val="0"/>
          <w:lang w:val="en-US"/>
        </w:rPr>
        <w:t>Category: Oral presentation</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p>
    <w:p>
      <w:pPr>
        <w:pStyle w:val="Body"/>
        <w:spacing w:after="0" w:line="240" w:lineRule="auto"/>
      </w:pPr>
      <w:r>
        <w:rPr>
          <w:rStyle w:val="None"/>
          <w:rFonts w:ascii="Times New Roman" w:cs="Times New Roman" w:hAnsi="Times New Roman" w:eastAsia="Times New Roman"/>
          <w:b w:val="1"/>
          <w:bCs w:val="1"/>
          <w:sz w:val="24"/>
          <w:szCs w:val="24"/>
          <w:lang w:val="en-US"/>
        </w:rPr>
      </w: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w:bidi w:val="0"/>
        <w:ind w:left="0" w:right="0" w:firstLine="0"/>
        <w:jc w:val="left"/>
        <w:rPr>
          <w:rtl w:val="0"/>
        </w:rPr>
      </w:pPr>
      <w:r>
        <w:rPr>
          <w:rFonts w:ascii="Times New Roman" w:cs="Times New Roman" w:hAnsi="Times New Roman" w:eastAsia="Times New Roman"/>
          <w:sz w:val="28"/>
          <w:szCs w:val="28"/>
          <w:u w:color="0000ff"/>
          <w:vertAlign w:val="superscript"/>
          <w:rtl w:val="0"/>
        </w:rPr>
        <w:footnoteRef/>
      </w:r>
      <w:r>
        <w:rPr>
          <w:u w:color="000000"/>
          <w:rtl w:val="0"/>
        </w:rPr>
        <w:t xml:space="preserve"> Iagodina OV (2010): [Comparative substrate</w:t>
      </w:r>
      <w:r>
        <w:rPr>
          <w:u w:color="000000"/>
          <w:rtl w:val="0"/>
        </w:rPr>
        <w:t>‐</w:t>
      </w:r>
      <w:r>
        <w:rPr>
          <w:u w:color="000000"/>
          <w:rtl w:val="0"/>
          <w:lang w:val="en-US"/>
        </w:rPr>
        <w:t xml:space="preserve">inhibitor analysis of liver monoamine </w:t>
      </w:r>
      <w:r>
        <w:rPr>
          <w:u w:color="000000"/>
          <w:rtl w:val="0"/>
          <w:lang w:val="it-IT"/>
        </w:rPr>
        <w:t>oxidases of minks]. Zhurnal evoliutsionnoi biokhimii i fiziologii, 46(5):380</w:t>
      </w:r>
      <w:r>
        <w:rPr>
          <w:u w:color="000000"/>
          <w:rtl w:val="0"/>
        </w:rPr>
        <w:t>‐</w:t>
      </w:r>
      <w:r>
        <w:rPr>
          <w:u w:color="000000"/>
          <w:rtl w:val="0"/>
        </w:rPr>
        <w:t>386.</w:t>
      </w:r>
      <w:r>
        <w:rPr>
          <w:u w:color="000000"/>
          <w:rtl w:val="0"/>
          <w:lang w:val="en-US"/>
        </w:rPr>
        <w:t xml:space="preserve"> </w:t>
      </w:r>
      <w:r>
        <w:rPr>
          <w:rStyle w:val="Hyperlink.0"/>
          <w:color w:val="0000ff"/>
          <w:u w:val="single" w:color="0000ff"/>
          <w:rtl w:val="0"/>
          <w:lang w:val="en-US"/>
        </w:rPr>
        <w:fldChar w:fldCharType="begin" w:fldLock="0"/>
      </w:r>
      <w:r>
        <w:rPr>
          <w:rStyle w:val="Hyperlink.0"/>
          <w:color w:val="0000ff"/>
          <w:u w:val="single" w:color="0000ff"/>
          <w:rtl w:val="0"/>
          <w:lang w:val="en-US"/>
        </w:rPr>
        <w:instrText xml:space="preserve"> HYPERLINK "http://www.ncbi.nlm.nih.gov/pubmed/21061647"</w:instrText>
      </w:r>
      <w:r>
        <w:rPr>
          <w:rStyle w:val="Hyperlink.0"/>
          <w:color w:val="0000ff"/>
          <w:u w:val="single" w:color="0000ff"/>
          <w:rtl w:val="0"/>
          <w:lang w:val="en-US"/>
        </w:rPr>
        <w:fldChar w:fldCharType="separate" w:fldLock="0"/>
      </w:r>
      <w:r>
        <w:rPr>
          <w:rStyle w:val="Hyperlink.0"/>
          <w:color w:val="0000ff"/>
          <w:u w:val="single" w:color="0000ff"/>
          <w:rtl w:val="0"/>
          <w:lang w:val="en-US"/>
        </w:rPr>
        <w:t>http://www.ncbi.nlm.nih.gov/pubmed/21061647</w:t>
      </w:r>
      <w:r>
        <w:rPr>
          <w:u w:color="000000"/>
          <w:rtl w:val="0"/>
        </w:rPr>
        <w:fldChar w:fldCharType="end" w:fldLock="0"/>
      </w:r>
      <w:r>
        <w:rPr>
          <w:rStyle w:val="None"/>
          <w:u w:color="000000"/>
          <w:rtl w:val="0"/>
          <w:lang w:val="en-US"/>
        </w:rPr>
        <w:t xml:space="preserve"> </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026"/>
      </w:tabs>
      <w:jc w:val="center"/>
    </w:pPr>
    <w:r>
      <w:drawing>
        <wp:inline distT="0" distB="0" distL="0" distR="0">
          <wp:extent cx="3841750" cy="689239"/>
          <wp:effectExtent l="0" t="0" r="0" b="0"/>
          <wp:docPr id="1073741825" name="officeArt object" descr="C:\Users\nidhi-a\Desktop\copy-EuroSciCon-logo.jpg"/>
          <wp:cNvGraphicFramePr/>
          <a:graphic xmlns:a="http://schemas.openxmlformats.org/drawingml/2006/main">
            <a:graphicData uri="http://schemas.openxmlformats.org/drawingml/2006/picture">
              <pic:pic xmlns:pic="http://schemas.openxmlformats.org/drawingml/2006/picture">
                <pic:nvPicPr>
                  <pic:cNvPr id="1073741825" name="C:\Users\nidhi-a\Desktop\copy-EuroSciCon-logo.jpg" descr="C:\Users\nidhi-a\Desktop\copy-EuroSciCon-logo.jpg"/>
                  <pic:cNvPicPr>
                    <a:picLocks noChangeAspect="1"/>
                  </pic:cNvPicPr>
                </pic:nvPicPr>
                <pic:blipFill>
                  <a:blip r:embed="rId1">
                    <a:extLst/>
                  </a:blip>
                  <a:stretch>
                    <a:fillRect/>
                  </a:stretch>
                </pic:blipFill>
                <pic:spPr>
                  <a:xfrm>
                    <a:off x="0" y="0"/>
                    <a:ext cx="3841750" cy="689239"/>
                  </a:xfrm>
                  <a:prstGeom prst="rect">
                    <a:avLst/>
                  </a:prstGeom>
                  <a:ln w="12700" cap="flat">
                    <a:noFill/>
                    <a:miter lim="400000"/>
                  </a:ln>
                  <a:effectLst/>
                </pic:spPr>
              </pic:pic>
            </a:graphicData>
          </a:graphic>
        </wp:inline>
      </w:drawing>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HTML Preformatted">
    <w:name w:val="HTML Preformatted"/>
    <w:next w:val="HTML Preformatted"/>
    <w:pPr>
      <w:keepNext w:val="0"/>
      <w:keepLines w:val="0"/>
      <w:pageBreakBefore w:val="0"/>
      <w:widowControl w:val="1"/>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Arial Unicode MS"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character" w:styleId="None">
    <w:name w:val="None"/>
  </w:style>
  <w:style w:type="character" w:styleId="Hyperlink.0">
    <w:name w:val="Hyperlink.0"/>
    <w:basedOn w:val="None"/>
    <w:next w:val="Hyperlink.0"/>
    <w:rPr>
      <w:color w:val="0000ff"/>
      <w:u w:val="single" w:color="0000ff"/>
      <w:lang w:val="en-US"/>
    </w:rPr>
  </w:style>
  <w:style w:type="character" w:styleId="Hyperlink.1">
    <w:name w:val="Hyperlink.1"/>
    <w:basedOn w:val="None"/>
    <w:next w:val="Hyperlink.1"/>
    <w:rPr>
      <w:color w:val="0000ff"/>
      <w:u w:val="single" w:color="0000ff"/>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