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71272B" w:rsidP="00494130">
      <w:pPr>
        <w:pStyle w:val="Heading1"/>
        <w:spacing w:before="170"/>
        <w:ind w:left="0"/>
      </w:pPr>
      <w:r>
        <w:rPr>
          <w:color w:val="337AB7"/>
        </w:rPr>
        <w:t>Human cytolytic fusion proteins targeting CSPG4 for the treatment of triple-negative breast cancer</w:t>
      </w:r>
    </w:p>
    <w:p w:rsidR="0078738A" w:rsidRDefault="0071272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Neelakshi Mungra</w:t>
      </w:r>
      <w:r w:rsidR="005973B9">
        <w:rPr>
          <w:rFonts w:ascii="Arial"/>
        </w:rPr>
        <w:t xml:space="preserve">, </w:t>
      </w:r>
      <w:r>
        <w:rPr>
          <w:rFonts w:ascii="Arial"/>
        </w:rPr>
        <w:t>PhD candidate, MB&amp;I Unit, UCT, South Africa</w:t>
      </w:r>
    </w:p>
    <w:p w:rsidR="005973B9" w:rsidRDefault="0071272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Sandra </w:t>
      </w:r>
      <w:proofErr w:type="spellStart"/>
      <w:r>
        <w:rPr>
          <w:rFonts w:ascii="Arial"/>
        </w:rPr>
        <w:t>Jordaan</w:t>
      </w:r>
      <w:proofErr w:type="spellEnd"/>
      <w:r>
        <w:rPr>
          <w:rFonts w:ascii="Arial"/>
        </w:rPr>
        <w:t>, PhD candidate, MB&amp;I Unit, UCT, South Africa</w:t>
      </w:r>
    </w:p>
    <w:p w:rsidR="0071272B" w:rsidRDefault="0071272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Stefan Barth, Professor, MB&amp;I Unit, UCT, South Africa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:rsidR="0071272B" w:rsidRDefault="0071272B">
      <w:pPr>
        <w:pStyle w:val="BodyText"/>
        <w:spacing w:before="90" w:line="280" w:lineRule="auto"/>
        <w:ind w:left="100"/>
        <w:jc w:val="both"/>
        <w:rPr>
          <w:bCs/>
        </w:rPr>
      </w:pPr>
      <w:r w:rsidRPr="0071272B">
        <w:rPr>
          <w:bCs/>
        </w:rPr>
        <w:t>Conventional chemotherapeutic approaches face obstacles such as off-target toxicity and therapy-resistance in certain cancers. Human cytolytic fusion proteins (</w:t>
      </w:r>
      <w:proofErr w:type="spellStart"/>
      <w:r w:rsidRPr="0071272B">
        <w:rPr>
          <w:bCs/>
        </w:rPr>
        <w:t>hCFPs</w:t>
      </w:r>
      <w:proofErr w:type="spellEnd"/>
      <w:r w:rsidRPr="0071272B">
        <w:rPr>
          <w:bCs/>
        </w:rPr>
        <w:t xml:space="preserve">) are targeted therapeutic agents composed of a disease-specific humanized antibody-based ligand recombinantly fused with a conditionally apoptosis-inducing human oligopeptide. They exhibit low off-target toxicity and can overcome tumor resistance depending on the biomarker selected. We generated </w:t>
      </w:r>
      <w:proofErr w:type="spellStart"/>
      <w:r w:rsidRPr="0071272B">
        <w:rPr>
          <w:bCs/>
        </w:rPr>
        <w:t>hCFPs</w:t>
      </w:r>
      <w:proofErr w:type="spellEnd"/>
      <w:r w:rsidRPr="0071272B">
        <w:rPr>
          <w:bCs/>
        </w:rPr>
        <w:t xml:space="preserve"> targeting chondroitin-</w:t>
      </w:r>
      <w:proofErr w:type="spellStart"/>
      <w:r w:rsidRPr="0071272B">
        <w:rPr>
          <w:bCs/>
        </w:rPr>
        <w:t>sulphate</w:t>
      </w:r>
      <w:proofErr w:type="spellEnd"/>
      <w:r w:rsidRPr="0071272B">
        <w:rPr>
          <w:bCs/>
        </w:rPr>
        <w:t xml:space="preserve"> proteoglycan (CSPG4), a biomarker of aggressive and treatment-resistant cancers, for the treatment of triple-negative breast cancer (TNBC). These </w:t>
      </w:r>
      <w:proofErr w:type="spellStart"/>
      <w:r w:rsidRPr="0071272B">
        <w:rPr>
          <w:bCs/>
        </w:rPr>
        <w:t>hCFPs</w:t>
      </w:r>
      <w:proofErr w:type="spellEnd"/>
      <w:r w:rsidRPr="0071272B">
        <w:rPr>
          <w:bCs/>
        </w:rPr>
        <w:t xml:space="preserve"> are designed to bind to CSPG4-positive TNBC cells and deliver cytotoxic proteins intracellularly, where they induce tumor cell death by disrupting biosynthesis (angiogenin) or mitosis (microtubule-associated protein </w:t>
      </w:r>
      <w:r w:rsidRPr="0071272B">
        <w:rPr>
          <w:bCs/>
          <w:i/>
        </w:rPr>
        <w:t>tau</w:t>
      </w:r>
      <w:r w:rsidRPr="0071272B">
        <w:rPr>
          <w:bCs/>
        </w:rPr>
        <w:t xml:space="preserve"> or MAP </w:t>
      </w:r>
      <w:r w:rsidRPr="0071272B">
        <w:rPr>
          <w:bCs/>
          <w:i/>
        </w:rPr>
        <w:t>tau</w:t>
      </w:r>
      <w:r w:rsidRPr="0071272B">
        <w:rPr>
          <w:bCs/>
        </w:rPr>
        <w:t xml:space="preserve">) in a compartment-dependent </w:t>
      </w:r>
      <w:proofErr w:type="spellStart"/>
      <w:r w:rsidRPr="0071272B">
        <w:rPr>
          <w:bCs/>
        </w:rPr>
        <w:t>manner.We</w:t>
      </w:r>
      <w:proofErr w:type="spellEnd"/>
      <w:r w:rsidRPr="0071272B">
        <w:rPr>
          <w:bCs/>
        </w:rPr>
        <w:t xml:space="preserve"> designed recombinant </w:t>
      </w:r>
      <w:proofErr w:type="spellStart"/>
      <w:r w:rsidRPr="0071272B">
        <w:rPr>
          <w:bCs/>
        </w:rPr>
        <w:t>hCFPs</w:t>
      </w:r>
      <w:proofErr w:type="spellEnd"/>
      <w:r w:rsidRPr="0071272B">
        <w:rPr>
          <w:bCs/>
        </w:rPr>
        <w:t xml:space="preserve"> based on angiogenin and MAP </w:t>
      </w:r>
      <w:r w:rsidRPr="0071272B">
        <w:rPr>
          <w:bCs/>
          <w:i/>
        </w:rPr>
        <w:t>tau</w:t>
      </w:r>
      <w:r w:rsidRPr="0071272B">
        <w:rPr>
          <w:bCs/>
        </w:rPr>
        <w:t xml:space="preserve"> as lead agents, as well as a CSPG4-targeting SNAP-tag fusion protein (as a fluorescent mimic for binding). All fusion proteins were expressed in a transient secretory mammalian expression system and purified from the cell culture supernatant by ion metal affinity chromatography. Binding of CSPG4(scFv)-SNAP to CSPG4-positive and -negative TNBC cell lines was validated both quantitatively (by flow cytometry) and qualitatively (by confocal microscopy).</w:t>
      </w:r>
      <w:r>
        <w:rPr>
          <w:bCs/>
        </w:rPr>
        <w:t xml:space="preserve"> </w:t>
      </w:r>
      <w:r w:rsidRPr="0071272B">
        <w:rPr>
          <w:bCs/>
        </w:rPr>
        <w:t>Preliminary proof-of-concept data demonstrate that the CSPG4-targeting, fluorescently-labeled CSPG4(scFv)-SNAP binds effectively to CSPG4-positive TNBC cells.</w:t>
      </w:r>
      <w:r>
        <w:rPr>
          <w:bCs/>
        </w:rPr>
        <w:t xml:space="preserve"> </w:t>
      </w:r>
      <w:r w:rsidRPr="0071272B">
        <w:rPr>
          <w:bCs/>
        </w:rPr>
        <w:t xml:space="preserve">The combination of </w:t>
      </w:r>
      <w:proofErr w:type="spellStart"/>
      <w:r w:rsidRPr="0071272B">
        <w:rPr>
          <w:bCs/>
        </w:rPr>
        <w:t>hCFPs</w:t>
      </w:r>
      <w:proofErr w:type="spellEnd"/>
      <w:r w:rsidRPr="0071272B">
        <w:rPr>
          <w:bCs/>
        </w:rPr>
        <w:t xml:space="preserve"> with a robust companion diagnostic tool such as SNAP-tag technology represents the first step towards the effective management of African TNBC.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 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B67F94" w:rsidP="00B67F94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42BF3703">
            <wp:extent cx="1499012" cy="173355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712" cy="17470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7F94" w:rsidRPr="00B67F94" w:rsidRDefault="00B67F94" w:rsidP="00B67F94">
      <w:pPr>
        <w:pStyle w:val="BodyText"/>
        <w:spacing w:before="2"/>
        <w:jc w:val="both"/>
        <w:rPr>
          <w:rFonts w:ascii="Arial"/>
          <w:sz w:val="16"/>
        </w:rPr>
      </w:pPr>
      <w:r w:rsidRPr="00B67F94">
        <w:rPr>
          <w:rFonts w:ascii="Arial"/>
          <w:sz w:val="16"/>
        </w:rPr>
        <w:t xml:space="preserve">Figure 1. Mechanism of action of </w:t>
      </w:r>
      <w:proofErr w:type="spellStart"/>
      <w:r w:rsidRPr="00B67F94">
        <w:rPr>
          <w:rFonts w:ascii="Arial"/>
          <w:sz w:val="16"/>
        </w:rPr>
        <w:t>hCFPs</w:t>
      </w:r>
      <w:proofErr w:type="spellEnd"/>
      <w:r w:rsidRPr="00B67F94">
        <w:rPr>
          <w:rFonts w:ascii="Arial"/>
          <w:sz w:val="16"/>
        </w:rPr>
        <w:t xml:space="preserve"> involving specific binding (to tumor-associated antigen), internalization, translocation of the cytotoxic component into the cytosol </w:t>
      </w:r>
      <w:bookmarkStart w:id="0" w:name="_GoBack"/>
      <w:bookmarkEnd w:id="0"/>
      <w:r w:rsidRPr="00B67F94">
        <w:rPr>
          <w:rFonts w:ascii="Arial"/>
          <w:sz w:val="16"/>
        </w:rPr>
        <w:t>and activation of the catalytic component, culminating in the apoptosis of the tumor cell</w:t>
      </w:r>
    </w:p>
    <w:p w:rsidR="005973B9" w:rsidRDefault="00B67F94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tbl>
      <w:tblPr>
        <w:tblW w:w="580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804"/>
      </w:tblGrid>
      <w:tr w:rsidR="00B67F94" w:rsidRPr="00B67F94" w:rsidTr="00B67F94">
        <w:tblPrEx>
          <w:tblCellMar>
            <w:top w:w="0" w:type="dxa"/>
            <w:bottom w:w="0" w:type="dxa"/>
          </w:tblCellMar>
        </w:tblPrEx>
        <w:trPr>
          <w:trHeight w:val="1365"/>
        </w:trPr>
        <w:tc>
          <w:tcPr>
            <w:tcW w:w="5804" w:type="dxa"/>
          </w:tcPr>
          <w:p w:rsidR="00B67F94" w:rsidRPr="00B67F94" w:rsidRDefault="00B67F94" w:rsidP="00B67F94">
            <w:pPr>
              <w:pStyle w:val="ListParagraph"/>
              <w:numPr>
                <w:ilvl w:val="0"/>
                <w:numId w:val="3"/>
              </w:numPr>
              <w:tabs>
                <w:tab w:val="left" w:pos="384"/>
              </w:tabs>
              <w:spacing w:before="103" w:line="216" w:lineRule="exact"/>
              <w:ind w:right="138" w:hanging="283"/>
              <w:rPr>
                <w:sz w:val="18"/>
                <w:lang w:val="en-ZA"/>
              </w:rPr>
            </w:pPr>
            <w:proofErr w:type="spellStart"/>
            <w:r w:rsidRPr="00B67F94">
              <w:rPr>
                <w:sz w:val="18"/>
                <w:lang w:val="en-ZA"/>
              </w:rPr>
              <w:t>Akinrinmade</w:t>
            </w:r>
            <w:proofErr w:type="spellEnd"/>
            <w:r w:rsidRPr="00B67F94">
              <w:rPr>
                <w:sz w:val="18"/>
                <w:lang w:val="en-ZA"/>
              </w:rPr>
              <w:t xml:space="preserve">, O., </w:t>
            </w:r>
            <w:proofErr w:type="spellStart"/>
            <w:r w:rsidRPr="00B67F94">
              <w:rPr>
                <w:sz w:val="18"/>
                <w:lang w:val="en-ZA"/>
              </w:rPr>
              <w:t>Jordaan</w:t>
            </w:r>
            <w:proofErr w:type="spellEnd"/>
            <w:r w:rsidRPr="00B67F94">
              <w:rPr>
                <w:sz w:val="18"/>
                <w:lang w:val="en-ZA"/>
              </w:rPr>
              <w:t xml:space="preserve">, S., </w:t>
            </w:r>
            <w:proofErr w:type="spellStart"/>
            <w:r w:rsidRPr="00B67F94">
              <w:rPr>
                <w:sz w:val="18"/>
                <w:lang w:val="en-ZA"/>
              </w:rPr>
              <w:t>Hristodorov</w:t>
            </w:r>
            <w:proofErr w:type="spellEnd"/>
            <w:r w:rsidRPr="00B67F94">
              <w:rPr>
                <w:sz w:val="18"/>
                <w:lang w:val="en-ZA"/>
              </w:rPr>
              <w:t xml:space="preserve">, D., </w:t>
            </w:r>
            <w:proofErr w:type="spellStart"/>
            <w:r w:rsidRPr="00B67F94">
              <w:rPr>
                <w:sz w:val="18"/>
                <w:lang w:val="en-ZA"/>
              </w:rPr>
              <w:t>Mladenov</w:t>
            </w:r>
            <w:proofErr w:type="spellEnd"/>
            <w:r w:rsidRPr="00B67F94">
              <w:rPr>
                <w:sz w:val="18"/>
                <w:lang w:val="en-ZA"/>
              </w:rPr>
              <w:t xml:space="preserve">, R., </w:t>
            </w:r>
            <w:r w:rsidRPr="00B67F94">
              <w:rPr>
                <w:b/>
                <w:bCs/>
                <w:sz w:val="18"/>
                <w:lang w:val="en-ZA"/>
              </w:rPr>
              <w:t>Mungra, N.</w:t>
            </w:r>
            <w:r w:rsidRPr="00B67F94">
              <w:rPr>
                <w:sz w:val="18"/>
                <w:lang w:val="en-ZA"/>
              </w:rPr>
              <w:t xml:space="preserve">, Chetty, S. and Barth, S. (2017). Human MAP Tau Based Targeted Cytolytic Fusion Proteins. </w:t>
            </w:r>
            <w:r w:rsidRPr="00B67F94">
              <w:rPr>
                <w:i/>
                <w:iCs/>
                <w:sz w:val="18"/>
                <w:lang w:val="en-ZA"/>
              </w:rPr>
              <w:t>Biomedicines</w:t>
            </w:r>
            <w:r w:rsidRPr="00B67F94">
              <w:rPr>
                <w:sz w:val="18"/>
                <w:lang w:val="en-ZA"/>
              </w:rPr>
              <w:t xml:space="preserve">, 5(3), p.36. </w:t>
            </w:r>
          </w:p>
          <w:p w:rsidR="00B67F94" w:rsidRPr="00B67F94" w:rsidRDefault="00B67F94" w:rsidP="00B67F94">
            <w:pPr>
              <w:pStyle w:val="ListParagraph"/>
              <w:numPr>
                <w:ilvl w:val="0"/>
                <w:numId w:val="3"/>
              </w:numPr>
              <w:tabs>
                <w:tab w:val="left" w:pos="384"/>
              </w:tabs>
              <w:spacing w:before="103" w:line="216" w:lineRule="exact"/>
              <w:ind w:right="138" w:hanging="283"/>
              <w:rPr>
                <w:sz w:val="18"/>
                <w:lang w:val="en-ZA"/>
              </w:rPr>
            </w:pPr>
            <w:proofErr w:type="spellStart"/>
            <w:r w:rsidRPr="00B67F94">
              <w:rPr>
                <w:sz w:val="18"/>
                <w:lang w:val="en-ZA"/>
              </w:rPr>
              <w:t>Jordaan</w:t>
            </w:r>
            <w:proofErr w:type="spellEnd"/>
            <w:r w:rsidRPr="00B67F94">
              <w:rPr>
                <w:sz w:val="18"/>
                <w:lang w:val="en-ZA"/>
              </w:rPr>
              <w:t xml:space="preserve">, S., Chetty, S., </w:t>
            </w:r>
            <w:r w:rsidRPr="00B67F94">
              <w:rPr>
                <w:b/>
                <w:bCs/>
                <w:sz w:val="18"/>
                <w:lang w:val="en-ZA"/>
              </w:rPr>
              <w:t>Mungra, N.</w:t>
            </w:r>
            <w:r w:rsidRPr="00B67F94">
              <w:rPr>
                <w:sz w:val="18"/>
                <w:lang w:val="en-ZA"/>
              </w:rPr>
              <w:t xml:space="preserve">, Koopmans, I., van </w:t>
            </w:r>
            <w:proofErr w:type="spellStart"/>
            <w:r w:rsidRPr="00B67F94">
              <w:rPr>
                <w:sz w:val="18"/>
                <w:lang w:val="en-ZA"/>
              </w:rPr>
              <w:t>Bommel</w:t>
            </w:r>
            <w:proofErr w:type="spellEnd"/>
            <w:r w:rsidRPr="00B67F94">
              <w:rPr>
                <w:sz w:val="18"/>
                <w:lang w:val="en-ZA"/>
              </w:rPr>
              <w:t xml:space="preserve">, P., Helfrich, W. and Barth, S. (2017). CSPG4: A Target for Selective Delivery of Human Cytolytic Fusion Proteins and TRAIL. </w:t>
            </w:r>
            <w:r w:rsidRPr="00B67F94">
              <w:rPr>
                <w:i/>
                <w:iCs/>
                <w:sz w:val="18"/>
                <w:lang w:val="en-ZA"/>
              </w:rPr>
              <w:t>Biomedicines</w:t>
            </w:r>
            <w:r w:rsidRPr="00B67F94">
              <w:rPr>
                <w:sz w:val="18"/>
                <w:lang w:val="en-ZA"/>
              </w:rPr>
              <w:t xml:space="preserve">, 5(3), p.37. </w:t>
            </w:r>
          </w:p>
          <w:p w:rsidR="00B67F94" w:rsidRPr="00B67F94" w:rsidRDefault="00B67F94" w:rsidP="00B67F94">
            <w:pPr>
              <w:pStyle w:val="ListParagraph"/>
              <w:numPr>
                <w:ilvl w:val="0"/>
                <w:numId w:val="3"/>
              </w:numPr>
              <w:tabs>
                <w:tab w:val="left" w:pos="384"/>
              </w:tabs>
              <w:spacing w:before="103" w:line="216" w:lineRule="exact"/>
              <w:ind w:right="138" w:hanging="283"/>
              <w:rPr>
                <w:sz w:val="18"/>
                <w:lang w:val="en-ZA"/>
              </w:rPr>
            </w:pPr>
            <w:proofErr w:type="spellStart"/>
            <w:r w:rsidRPr="00B67F94">
              <w:rPr>
                <w:sz w:val="18"/>
                <w:lang w:val="en-ZA"/>
              </w:rPr>
              <w:t>Hlongwane</w:t>
            </w:r>
            <w:proofErr w:type="spellEnd"/>
            <w:r w:rsidRPr="00B67F94">
              <w:rPr>
                <w:sz w:val="18"/>
                <w:lang w:val="en-ZA"/>
              </w:rPr>
              <w:t xml:space="preserve">, P., </w:t>
            </w:r>
            <w:r w:rsidRPr="00B67F94">
              <w:rPr>
                <w:b/>
                <w:bCs/>
                <w:sz w:val="18"/>
                <w:lang w:val="en-ZA"/>
              </w:rPr>
              <w:t>Mungra, N.</w:t>
            </w:r>
            <w:r w:rsidRPr="00B67F94">
              <w:rPr>
                <w:sz w:val="18"/>
                <w:lang w:val="en-ZA"/>
              </w:rPr>
              <w:t xml:space="preserve">, </w:t>
            </w:r>
            <w:proofErr w:type="spellStart"/>
            <w:r w:rsidRPr="00B67F94">
              <w:rPr>
                <w:sz w:val="18"/>
                <w:lang w:val="en-ZA"/>
              </w:rPr>
              <w:t>Madheswaran</w:t>
            </w:r>
            <w:proofErr w:type="spellEnd"/>
            <w:r w:rsidRPr="00B67F94">
              <w:rPr>
                <w:sz w:val="18"/>
                <w:lang w:val="en-ZA"/>
              </w:rPr>
              <w:t xml:space="preserve">, S., </w:t>
            </w:r>
            <w:proofErr w:type="spellStart"/>
            <w:r w:rsidRPr="00B67F94">
              <w:rPr>
                <w:sz w:val="18"/>
                <w:lang w:val="en-ZA"/>
              </w:rPr>
              <w:t>Akinrinmade</w:t>
            </w:r>
            <w:proofErr w:type="spellEnd"/>
            <w:r w:rsidRPr="00B67F94">
              <w:rPr>
                <w:sz w:val="18"/>
                <w:lang w:val="en-ZA"/>
              </w:rPr>
              <w:t xml:space="preserve">, O., Chetty, S., and Barth, S. (2018). Human Granzyme B Based Targeted Cytolytic Fusion Proteins. </w:t>
            </w:r>
            <w:r w:rsidRPr="00B67F94">
              <w:rPr>
                <w:i/>
                <w:iCs/>
                <w:sz w:val="18"/>
                <w:lang w:val="en-ZA"/>
              </w:rPr>
              <w:t>Biomedicines</w:t>
            </w:r>
            <w:r w:rsidRPr="00B67F94">
              <w:rPr>
                <w:sz w:val="18"/>
                <w:lang w:val="en-ZA"/>
              </w:rPr>
              <w:t xml:space="preserve">, 6(2), p72. </w:t>
            </w:r>
          </w:p>
          <w:p w:rsidR="00B67F94" w:rsidRPr="00B67F94" w:rsidRDefault="00B67F94" w:rsidP="00B67F94">
            <w:pPr>
              <w:tabs>
                <w:tab w:val="left" w:pos="384"/>
              </w:tabs>
              <w:spacing w:before="103" w:line="216" w:lineRule="exact"/>
              <w:ind w:left="100" w:right="138"/>
              <w:rPr>
                <w:sz w:val="18"/>
                <w:lang w:val="en-ZA"/>
              </w:rPr>
            </w:pPr>
          </w:p>
        </w:tc>
      </w:tr>
    </w:tbl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DEDF2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1272B">
        <w:rPr>
          <w:noProof/>
        </w:rPr>
        <w:drawing>
          <wp:inline distT="0" distB="0" distL="0" distR="0" wp14:anchorId="6B0766CF" wp14:editId="17719C28">
            <wp:extent cx="561975" cy="895350"/>
            <wp:effectExtent l="0" t="0" r="9525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8" r="11707" b="11337"/>
                    <a:stretch/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Pr="0071272B" w:rsidRDefault="0071272B" w:rsidP="0071272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71272B">
        <w:rPr>
          <w:rFonts w:ascii="Arial"/>
          <w:iCs/>
          <w:sz w:val="14"/>
        </w:rPr>
        <w:t xml:space="preserve">Neelakshi has always been fascinated by the realm of medicinal chemistry and cancer research. Being a </w:t>
      </w:r>
      <w:r>
        <w:rPr>
          <w:rFonts w:ascii="Arial"/>
          <w:iCs/>
          <w:sz w:val="14"/>
        </w:rPr>
        <w:t xml:space="preserve">Doctoral student </w:t>
      </w:r>
      <w:r w:rsidRPr="0071272B">
        <w:rPr>
          <w:rFonts w:ascii="Arial"/>
          <w:iCs/>
          <w:sz w:val="14"/>
        </w:rPr>
        <w:t xml:space="preserve">in Chemical Biology, her primary aim is to excel in her field through hard work, research, skills and perseverance. She has demonstrated self-motivation, commitment and determination in achieving her goals, come what may. She has a strong sense of responsibility, leadership and organizing skills that </w:t>
      </w:r>
      <w:proofErr w:type="gramStart"/>
      <w:r w:rsidRPr="0071272B">
        <w:rPr>
          <w:rFonts w:ascii="Arial"/>
          <w:iCs/>
          <w:sz w:val="14"/>
        </w:rPr>
        <w:t>definitely serve</w:t>
      </w:r>
      <w:proofErr w:type="gramEnd"/>
      <w:r w:rsidRPr="0071272B">
        <w:rPr>
          <w:rFonts w:ascii="Arial"/>
          <w:iCs/>
          <w:sz w:val="14"/>
        </w:rPr>
        <w:t xml:space="preserve"> as a stepping stone to help her succeed in any environment of growth and excellence.</w:t>
      </w:r>
      <w:r>
        <w:rPr>
          <w:rFonts w:ascii="Arial"/>
          <w:iCs/>
          <w:sz w:val="14"/>
        </w:rPr>
        <w:t xml:space="preserve"> </w:t>
      </w:r>
      <w:r w:rsidRPr="0071272B">
        <w:rPr>
          <w:rFonts w:ascii="Arial"/>
          <w:iCs/>
          <w:sz w:val="14"/>
        </w:rPr>
        <w:t xml:space="preserve">Neelakshi is an exceptional young lady, but a humble person. She is much appreciated for her </w:t>
      </w:r>
      <w:r>
        <w:rPr>
          <w:rFonts w:ascii="Arial"/>
          <w:iCs/>
          <w:sz w:val="14"/>
        </w:rPr>
        <w:t>warmth and pleasant personality.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71272B" w:rsidRPr="005B7BA2">
          <w:rPr>
            <w:rStyle w:val="Hyperlink"/>
            <w:rFonts w:ascii="Arial"/>
            <w:sz w:val="14"/>
          </w:rPr>
          <w:t>mngnee002@myuct.ac.za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5C34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02EE" w:rsidRDefault="007602EE">
      <w:r>
        <w:separator/>
      </w:r>
    </w:p>
  </w:endnote>
  <w:endnote w:type="continuationSeparator" w:id="0">
    <w:p w:rsidR="007602EE" w:rsidRDefault="00760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02EE" w:rsidRDefault="007602EE">
      <w:r>
        <w:separator/>
      </w:r>
    </w:p>
  </w:footnote>
  <w:footnote w:type="continuationSeparator" w:id="0">
    <w:p w:rsidR="007602EE" w:rsidRDefault="00760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4511909"/>
    <w:multiLevelType w:val="hybridMultilevel"/>
    <w:tmpl w:val="74374F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B85D6F8"/>
    <w:multiLevelType w:val="hybridMultilevel"/>
    <w:tmpl w:val="E27754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 w15:restartNumberingAfterBreak="0">
    <w:nsid w:val="5F3BE48E"/>
    <w:multiLevelType w:val="hybridMultilevel"/>
    <w:tmpl w:val="5C97A13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1272B"/>
    <w:rsid w:val="007602EE"/>
    <w:rsid w:val="0078738A"/>
    <w:rsid w:val="00873DF0"/>
    <w:rsid w:val="008756E6"/>
    <w:rsid w:val="009B2D44"/>
    <w:rsid w:val="00A07E82"/>
    <w:rsid w:val="00A9710C"/>
    <w:rsid w:val="00AE3E37"/>
    <w:rsid w:val="00B21A57"/>
    <w:rsid w:val="00B67F94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7F57E5"/>
  <w15:docId w15:val="{B8025A56-18E9-44F9-A2F8-932111F9B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1272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ngnee002@myuct.ac.za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Neelakshi Mungra</cp:lastModifiedBy>
  <cp:revision>2</cp:revision>
  <dcterms:created xsi:type="dcterms:W3CDTF">2018-12-24T10:58:00Z</dcterms:created>
  <dcterms:modified xsi:type="dcterms:W3CDTF">2018-12-24T10:58:00Z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