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533" w:rsidRPr="00996533" w:rsidRDefault="00996533" w:rsidP="009965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96533">
        <w:rPr>
          <w:rFonts w:ascii="Times New Roman" w:hAnsi="Times New Roman" w:cs="Times New Roman"/>
          <w:b/>
          <w:bCs/>
          <w:sz w:val="28"/>
          <w:szCs w:val="28"/>
        </w:rPr>
        <w:t>Gastric Ade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nocarcinoma at the Joliot Curie Institute in Dakar: Epidemiological, Diagnostic </w:t>
      </w:r>
      <w:r w:rsidRPr="00996533">
        <w:rPr>
          <w:rFonts w:ascii="Times New Roman" w:hAnsi="Times New Roman" w:cs="Times New Roman"/>
          <w:b/>
          <w:bCs/>
          <w:sz w:val="28"/>
          <w:szCs w:val="28"/>
        </w:rPr>
        <w:t>and Therapeutic Aspects about 54 Cases</w:t>
      </w:r>
    </w:p>
    <w:p w:rsidR="00996533" w:rsidRDefault="00996533" w:rsidP="00996533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</w:rPr>
      </w:pPr>
    </w:p>
    <w:p w:rsidR="001850F8" w:rsidRDefault="00996533" w:rsidP="00996533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Cs/>
        </w:rPr>
      </w:pPr>
      <w:r w:rsidRPr="00996533">
        <w:rPr>
          <w:rFonts w:ascii="Cambria-Bold" w:hAnsi="Cambria-Bold" w:cs="Cambria-Bold"/>
          <w:bCs/>
        </w:rPr>
        <w:t>Kanta Ka, Doudou Diouf, Sidy Ka, El Hadj Amadou Sall, Daniele Presti</w:t>
      </w:r>
      <w:r>
        <w:rPr>
          <w:rFonts w:ascii="Cambria-Bold" w:hAnsi="Cambria-Bold" w:cs="Cambria-Bold"/>
          <w:bCs/>
        </w:rPr>
        <w:t xml:space="preserve">, Mamadou Moustapha </w:t>
      </w:r>
      <w:r w:rsidRPr="00996533">
        <w:rPr>
          <w:rFonts w:ascii="Cambria-Bold" w:hAnsi="Cambria-Bold" w:cs="Cambria-Bold"/>
          <w:bCs/>
        </w:rPr>
        <w:t>Dieng, Papa Macoumba Gaye, Ahmadou Dem</w:t>
      </w:r>
    </w:p>
    <w:p w:rsidR="00996533" w:rsidRDefault="00996533" w:rsidP="00996533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Cs/>
        </w:rPr>
      </w:pPr>
    </w:p>
    <w:p w:rsidR="00996533" w:rsidRDefault="00996533" w:rsidP="00996533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Cs/>
        </w:rPr>
      </w:pPr>
    </w:p>
    <w:p w:rsidR="00996533" w:rsidRPr="00996533" w:rsidRDefault="00996533" w:rsidP="00996533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</w:rPr>
      </w:pPr>
      <w:r w:rsidRPr="00996533">
        <w:rPr>
          <w:rFonts w:ascii="Cambria-Bold" w:hAnsi="Cambria-Bold" w:cs="Cambria-Bold"/>
          <w:b/>
          <w:bCs/>
        </w:rPr>
        <w:t>Abstract</w:t>
      </w:r>
    </w:p>
    <w:p w:rsidR="00996533" w:rsidRPr="00996533" w:rsidRDefault="00996533" w:rsidP="00996533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Cs/>
        </w:rPr>
      </w:pPr>
      <w:r w:rsidRPr="00996533">
        <w:rPr>
          <w:rFonts w:ascii="Cambria-Bold" w:hAnsi="Cambria-Bold" w:cs="Cambria-Bold"/>
          <w:b/>
          <w:bCs/>
        </w:rPr>
        <w:t>Objectives:</w:t>
      </w:r>
      <w:r w:rsidRPr="00996533">
        <w:rPr>
          <w:rFonts w:ascii="Cambria-Bold" w:hAnsi="Cambria-Bold" w:cs="Cambria-Bold"/>
          <w:bCs/>
        </w:rPr>
        <w:t xml:space="preserve"> To study the epidemiological, diagnostic, therapeutic and prognostic</w:t>
      </w:r>
      <w:r>
        <w:rPr>
          <w:rFonts w:ascii="Cambria-Bold" w:hAnsi="Cambria-Bold" w:cs="Cambria-Bold"/>
          <w:bCs/>
        </w:rPr>
        <w:t xml:space="preserve"> </w:t>
      </w:r>
      <w:r w:rsidRPr="00996533">
        <w:rPr>
          <w:rFonts w:ascii="Cambria-Bold" w:hAnsi="Cambria-Bold" w:cs="Cambria-Bold"/>
          <w:bCs/>
        </w:rPr>
        <w:t>aspects of gastric adenocarcinoma at the Joliot Curie Institute in Dakar.</w:t>
      </w:r>
    </w:p>
    <w:p w:rsidR="00996533" w:rsidRDefault="00996533" w:rsidP="00996533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Cs/>
        </w:rPr>
      </w:pPr>
      <w:r w:rsidRPr="00996533">
        <w:rPr>
          <w:rFonts w:ascii="Cambria-Bold" w:hAnsi="Cambria-Bold" w:cs="Cambria-Bold"/>
          <w:b/>
          <w:bCs/>
        </w:rPr>
        <w:t xml:space="preserve">Materials and Methods: </w:t>
      </w:r>
      <w:r w:rsidRPr="00996533">
        <w:rPr>
          <w:rFonts w:ascii="Cambria-Bold" w:hAnsi="Cambria-Bold" w:cs="Cambria-Bold"/>
          <w:bCs/>
        </w:rPr>
        <w:t>We conducted a retrospective study over a</w:t>
      </w:r>
      <w:r>
        <w:rPr>
          <w:rFonts w:ascii="Cambria-Bold" w:hAnsi="Cambria-Bold" w:cs="Cambria-Bold"/>
          <w:bCs/>
        </w:rPr>
        <w:t xml:space="preserve"> </w:t>
      </w:r>
      <w:r w:rsidRPr="00996533">
        <w:rPr>
          <w:rFonts w:ascii="Cambria-Bold" w:hAnsi="Cambria-Bold" w:cs="Cambria-Bold"/>
          <w:bCs/>
        </w:rPr>
        <w:t>seven-year period from January 2010 to December 2017 at the Joliot Curie</w:t>
      </w:r>
      <w:r>
        <w:rPr>
          <w:rFonts w:ascii="Cambria-Bold" w:hAnsi="Cambria-Bold" w:cs="Cambria-Bold"/>
          <w:bCs/>
        </w:rPr>
        <w:t xml:space="preserve"> </w:t>
      </w:r>
      <w:r w:rsidRPr="00996533">
        <w:rPr>
          <w:rFonts w:ascii="Cambria-Bold" w:hAnsi="Cambria-Bold" w:cs="Cambria-Bold"/>
          <w:bCs/>
        </w:rPr>
        <w:t>Institute in Dakar. All cases of gastric adenocarcinoma proven by fibroscopy</w:t>
      </w:r>
      <w:r>
        <w:rPr>
          <w:rFonts w:ascii="Cambria-Bold" w:hAnsi="Cambria-Bold" w:cs="Cambria-Bold"/>
          <w:bCs/>
        </w:rPr>
        <w:t xml:space="preserve"> </w:t>
      </w:r>
      <w:r w:rsidRPr="00996533">
        <w:rPr>
          <w:rFonts w:ascii="Cambria-Bold" w:hAnsi="Cambria-Bold" w:cs="Cambria-Bold"/>
          <w:bCs/>
        </w:rPr>
        <w:t>followed by histology or proven on the hist</w:t>
      </w:r>
      <w:r>
        <w:rPr>
          <w:rFonts w:ascii="Cambria-Bold" w:hAnsi="Cambria-Bold" w:cs="Cambria-Bold"/>
          <w:bCs/>
        </w:rPr>
        <w:t xml:space="preserve">ological analysis of a surgical </w:t>
      </w:r>
      <w:r w:rsidRPr="00996533">
        <w:rPr>
          <w:rFonts w:ascii="Cambria-Bold" w:hAnsi="Cambria-Bold" w:cs="Cambria-Bold"/>
          <w:bCs/>
        </w:rPr>
        <w:t>specimen</w:t>
      </w:r>
      <w:r>
        <w:rPr>
          <w:rFonts w:ascii="Cambria-Bold" w:hAnsi="Cambria-Bold" w:cs="Cambria-Bold"/>
          <w:bCs/>
        </w:rPr>
        <w:t xml:space="preserve"> </w:t>
      </w:r>
      <w:r w:rsidRPr="00996533">
        <w:rPr>
          <w:rFonts w:ascii="Cambria-Bold" w:hAnsi="Cambria-Bold" w:cs="Cambria-Bold"/>
          <w:bCs/>
        </w:rPr>
        <w:t>were taken into account. The parameters studied were age, risk factors,</w:t>
      </w:r>
      <w:r>
        <w:rPr>
          <w:rFonts w:ascii="Cambria-Bold" w:hAnsi="Cambria-Bold" w:cs="Cambria-Bold"/>
          <w:bCs/>
        </w:rPr>
        <w:t xml:space="preserve"> </w:t>
      </w:r>
      <w:r w:rsidRPr="00996533">
        <w:rPr>
          <w:rFonts w:ascii="Cambria-Bold" w:hAnsi="Cambria-Bold" w:cs="Cambria-Bold"/>
          <w:bCs/>
        </w:rPr>
        <w:t xml:space="preserve">stages of the disease, treatment and prognosis. </w:t>
      </w:r>
      <w:r w:rsidRPr="00996533">
        <w:rPr>
          <w:rFonts w:ascii="Cambria-Bold" w:hAnsi="Cambria-Bold" w:cs="Cambria-Bold"/>
          <w:b/>
          <w:bCs/>
        </w:rPr>
        <w:t>Results:</w:t>
      </w:r>
      <w:r w:rsidRPr="00996533">
        <w:rPr>
          <w:rFonts w:ascii="Cambria-Bold" w:hAnsi="Cambria-Bold" w:cs="Cambria-Bold"/>
          <w:bCs/>
        </w:rPr>
        <w:t xml:space="preserve"> There were 54 cases</w:t>
      </w:r>
      <w:r>
        <w:rPr>
          <w:rFonts w:ascii="Cambria-Bold" w:hAnsi="Cambria-Bold" w:cs="Cambria-Bold"/>
          <w:bCs/>
        </w:rPr>
        <w:t xml:space="preserve"> </w:t>
      </w:r>
      <w:r w:rsidRPr="00996533">
        <w:rPr>
          <w:rFonts w:ascii="Cambria-Bold" w:hAnsi="Cambria-Bold" w:cs="Cambria-Bold"/>
          <w:bCs/>
        </w:rPr>
        <w:t>of gastric adenocarcinoma over a period of 7 years. The average age was 54.74</w:t>
      </w:r>
      <w:r>
        <w:rPr>
          <w:rFonts w:ascii="Cambria-Bold" w:hAnsi="Cambria-Bold" w:cs="Cambria-Bold"/>
          <w:bCs/>
        </w:rPr>
        <w:t xml:space="preserve"> </w:t>
      </w:r>
      <w:r w:rsidRPr="00996533">
        <w:rPr>
          <w:rFonts w:ascii="Cambria-Bold" w:hAnsi="Cambria-Bold" w:cs="Cambria-Bold"/>
          <w:bCs/>
        </w:rPr>
        <w:t>years with extremes of 25 and 84 years. A male predominance was noted</w:t>
      </w:r>
      <w:r>
        <w:rPr>
          <w:rFonts w:ascii="Cambria-Bold" w:hAnsi="Cambria-Bold" w:cs="Cambria-Bold"/>
          <w:bCs/>
        </w:rPr>
        <w:t xml:space="preserve"> </w:t>
      </w:r>
      <w:r w:rsidRPr="00996533">
        <w:rPr>
          <w:rFonts w:ascii="Cambria-Bold" w:hAnsi="Cambria-Bold" w:cs="Cambria-Bold"/>
          <w:bCs/>
        </w:rPr>
        <w:t>(35/54). The main risk factors found were alcohol (5/54), tobacco (13/54),</w:t>
      </w:r>
      <w:r>
        <w:rPr>
          <w:rFonts w:ascii="Cambria-Bold" w:hAnsi="Cambria-Bold" w:cs="Cambria-Bold"/>
          <w:bCs/>
        </w:rPr>
        <w:t xml:space="preserve"> </w:t>
      </w:r>
      <w:r w:rsidRPr="00996533">
        <w:rPr>
          <w:rFonts w:ascii="Cambria-Bold" w:hAnsi="Cambria-Bold" w:cs="Cambria-Bold"/>
          <w:bCs/>
        </w:rPr>
        <w:t>Helicobacter pilori (4/54), gastric ulcer (12/54). Epigastralgia was the most</w:t>
      </w:r>
      <w:r>
        <w:rPr>
          <w:rFonts w:ascii="Cambria-Bold" w:hAnsi="Cambria-Bold" w:cs="Cambria-Bold"/>
          <w:bCs/>
        </w:rPr>
        <w:t xml:space="preserve"> </w:t>
      </w:r>
      <w:r w:rsidRPr="00996533">
        <w:rPr>
          <w:rFonts w:ascii="Cambria-Bold" w:hAnsi="Cambria-Bold" w:cs="Cambria-Bold"/>
          <w:bCs/>
        </w:rPr>
        <w:t>frequent clinical manifestation. FOGD was carried out in 77.8% of patients.</w:t>
      </w:r>
      <w:r>
        <w:rPr>
          <w:rFonts w:ascii="Cambria-Bold" w:hAnsi="Cambria-Bold" w:cs="Cambria-Bold"/>
          <w:bCs/>
        </w:rPr>
        <w:t xml:space="preserve"> </w:t>
      </w:r>
      <w:r w:rsidRPr="00996533">
        <w:rPr>
          <w:rFonts w:ascii="Cambria-Bold" w:hAnsi="Cambria-Bold" w:cs="Cambria-Bold"/>
          <w:bCs/>
        </w:rPr>
        <w:t>Histology was obtained before surgery in 40 patients (74.1% of cases) and on</w:t>
      </w:r>
      <w:r>
        <w:rPr>
          <w:rFonts w:ascii="Cambria-Bold" w:hAnsi="Cambria-Bold" w:cs="Cambria-Bold"/>
          <w:bCs/>
        </w:rPr>
        <w:t xml:space="preserve"> </w:t>
      </w:r>
      <w:r w:rsidRPr="00996533">
        <w:rPr>
          <w:rFonts w:ascii="Cambria-Bold" w:hAnsi="Cambria-Bold" w:cs="Cambria-Bold"/>
          <w:bCs/>
        </w:rPr>
        <w:t>the operating room in 14 patients (25.9%). Patients were classified as stage II</w:t>
      </w:r>
      <w:r>
        <w:rPr>
          <w:rFonts w:ascii="Cambria-Bold" w:hAnsi="Cambria-Bold" w:cs="Cambria-Bold"/>
          <w:bCs/>
        </w:rPr>
        <w:t xml:space="preserve"> </w:t>
      </w:r>
      <w:r w:rsidRPr="00996533">
        <w:rPr>
          <w:rFonts w:ascii="Cambria-Bold" w:hAnsi="Cambria-Bold" w:cs="Cambria-Bold"/>
          <w:bCs/>
        </w:rPr>
        <w:t>in 2/54 cases, stage III in 5/54 cases and stage IV in 47/54 cases. Gastro-entero-an</w:t>
      </w:r>
      <w:r>
        <w:rPr>
          <w:rFonts w:ascii="Cambria-Bold" w:hAnsi="Cambria-Bold" w:cs="Cambria-Bold"/>
          <w:bCs/>
        </w:rPr>
        <w:t xml:space="preserve">astomosis was the main surgical </w:t>
      </w:r>
      <w:r w:rsidRPr="00996533">
        <w:rPr>
          <w:rFonts w:ascii="Cambria-Bold" w:hAnsi="Cambria-Bold" w:cs="Cambria-Bold"/>
          <w:bCs/>
        </w:rPr>
        <w:t>procedure performed. External</w:t>
      </w:r>
      <w:r>
        <w:rPr>
          <w:rFonts w:ascii="Cambria-Bold" w:hAnsi="Cambria-Bold" w:cs="Cambria-Bold"/>
          <w:bCs/>
        </w:rPr>
        <w:t xml:space="preserve"> </w:t>
      </w:r>
      <w:r w:rsidRPr="00996533">
        <w:rPr>
          <w:rFonts w:ascii="Cambria-Bold" w:hAnsi="Cambria-Bold" w:cs="Cambria-Bold"/>
          <w:bCs/>
        </w:rPr>
        <w:t>radiotherapy was performed in 1/54 patients. Chemotherapy was done in</w:t>
      </w:r>
      <w:r>
        <w:rPr>
          <w:rFonts w:ascii="Cambria-Bold" w:hAnsi="Cambria-Bold" w:cs="Cambria-Bold"/>
          <w:bCs/>
        </w:rPr>
        <w:t xml:space="preserve"> </w:t>
      </w:r>
      <w:r w:rsidRPr="00996533">
        <w:rPr>
          <w:rFonts w:ascii="Cambria-Bold" w:hAnsi="Cambria-Bold" w:cs="Cambria-Bold"/>
          <w:bCs/>
        </w:rPr>
        <w:t>52/54 patients, 96.3% of the cases. It was palliative in 66.7% of cases, neoadjuvant</w:t>
      </w:r>
      <w:r>
        <w:rPr>
          <w:rFonts w:ascii="Cambria-Bold" w:hAnsi="Cambria-Bold" w:cs="Cambria-Bold"/>
          <w:bCs/>
        </w:rPr>
        <w:t xml:space="preserve"> </w:t>
      </w:r>
      <w:r w:rsidRPr="00996533">
        <w:rPr>
          <w:rFonts w:ascii="Cambria-Bold" w:hAnsi="Cambria-Bold" w:cs="Cambria-Bold"/>
          <w:bCs/>
        </w:rPr>
        <w:t>in 1.9% of cases, adjuvant in 24.1% of cases, perioperative in 3.7% of</w:t>
      </w:r>
      <w:r>
        <w:rPr>
          <w:rFonts w:ascii="Cambria-Bold" w:hAnsi="Cambria-Bold" w:cs="Cambria-Bold"/>
          <w:bCs/>
        </w:rPr>
        <w:t xml:space="preserve"> </w:t>
      </w:r>
      <w:r w:rsidRPr="00996533">
        <w:rPr>
          <w:rFonts w:ascii="Cambria-Bold" w:hAnsi="Cambria-Bold" w:cs="Cambria-Bold"/>
          <w:bCs/>
        </w:rPr>
        <w:t>cases. Mortality was 79.6%. Patient survival times were relatively short: in less</w:t>
      </w:r>
      <w:r>
        <w:rPr>
          <w:rFonts w:ascii="Cambria-Bold" w:hAnsi="Cambria-Bold" w:cs="Cambria-Bold"/>
          <w:bCs/>
        </w:rPr>
        <w:t xml:space="preserve"> </w:t>
      </w:r>
      <w:r w:rsidRPr="00996533">
        <w:rPr>
          <w:rFonts w:ascii="Cambria-Bold" w:hAnsi="Cambria-Bold" w:cs="Cambria-Bold"/>
          <w:bCs/>
        </w:rPr>
        <w:t>than 6 months 24/54 cases, 13/54 cases between 6 - 12 months, 5/54 cases</w:t>
      </w:r>
      <w:r>
        <w:rPr>
          <w:rFonts w:ascii="Cambria-Bold" w:hAnsi="Cambria-Bold" w:cs="Cambria-Bold"/>
          <w:bCs/>
        </w:rPr>
        <w:t xml:space="preserve"> </w:t>
      </w:r>
      <w:r w:rsidRPr="00996533">
        <w:rPr>
          <w:rFonts w:ascii="Cambria-Bold" w:hAnsi="Cambria-Bold" w:cs="Cambria-Bold"/>
          <w:bCs/>
        </w:rPr>
        <w:t>between 13 - 24 months and 6/54 cases beyond 24 months. 6/54 patients were</w:t>
      </w:r>
      <w:r>
        <w:rPr>
          <w:rFonts w:ascii="Cambria-Bold" w:hAnsi="Cambria-Bold" w:cs="Cambria-Bold"/>
          <w:bCs/>
        </w:rPr>
        <w:t xml:space="preserve"> </w:t>
      </w:r>
      <w:r w:rsidRPr="00996533">
        <w:rPr>
          <w:rFonts w:ascii="Cambria-Bold" w:hAnsi="Cambria-Bold" w:cs="Cambria-Bold"/>
          <w:bCs/>
        </w:rPr>
        <w:t xml:space="preserve">lost from view. </w:t>
      </w:r>
      <w:r w:rsidRPr="00996533">
        <w:rPr>
          <w:rFonts w:ascii="Cambria-Bold" w:hAnsi="Cambria-Bold" w:cs="Cambria-Bold"/>
          <w:b/>
          <w:bCs/>
        </w:rPr>
        <w:t>Conclusion:</w:t>
      </w:r>
      <w:r w:rsidRPr="00996533">
        <w:rPr>
          <w:rFonts w:ascii="Cambria-Bold" w:hAnsi="Cambria-Bold" w:cs="Cambria-Bold"/>
          <w:bCs/>
        </w:rPr>
        <w:t xml:space="preserve"> Gastric adenoc</w:t>
      </w:r>
      <w:r>
        <w:rPr>
          <w:rFonts w:ascii="Cambria-Bold" w:hAnsi="Cambria-Bold" w:cs="Cambria-Bold"/>
          <w:bCs/>
        </w:rPr>
        <w:t xml:space="preserve">arcinoma is diagnosed lately in our conditions. It is </w:t>
      </w:r>
      <w:r w:rsidRPr="00996533">
        <w:rPr>
          <w:rFonts w:ascii="Cambria-Bold" w:hAnsi="Cambria-Bold" w:cs="Cambria-Bold"/>
          <w:bCs/>
        </w:rPr>
        <w:t>responsible for a high mortality rate. Palliative treatment</w:t>
      </w:r>
      <w:r>
        <w:rPr>
          <w:rFonts w:ascii="Cambria-Bold" w:hAnsi="Cambria-Bold" w:cs="Cambria-Bold"/>
          <w:bCs/>
        </w:rPr>
        <w:t xml:space="preserve"> </w:t>
      </w:r>
      <w:r w:rsidRPr="00996533">
        <w:rPr>
          <w:rFonts w:ascii="Cambria-Bold" w:hAnsi="Cambria-Bold" w:cs="Cambria-Bold"/>
          <w:bCs/>
        </w:rPr>
        <w:t>is often the only option because of the delay in diagnosis.</w:t>
      </w:r>
    </w:p>
    <w:p w:rsidR="00B039EB" w:rsidRDefault="00B039EB" w:rsidP="00996533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Cs/>
        </w:rPr>
      </w:pPr>
    </w:p>
    <w:p w:rsidR="00B039EB" w:rsidRDefault="00B039EB" w:rsidP="00996533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Cs/>
        </w:rPr>
      </w:pPr>
      <w:r w:rsidRPr="00B039EB">
        <w:rPr>
          <w:rFonts w:ascii="Cambria-Bold" w:hAnsi="Cambria-Bold" w:cs="Cambria-Bold"/>
          <w:bCs/>
          <w:noProof/>
          <w:lang w:eastAsia="fr-FR"/>
        </w:rPr>
        <w:drawing>
          <wp:inline distT="0" distB="0" distL="0" distR="0">
            <wp:extent cx="5760720" cy="2908268"/>
            <wp:effectExtent l="0" t="0" r="0" b="698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908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39EB" w:rsidRDefault="00B039EB" w:rsidP="00996533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Cs/>
        </w:rPr>
      </w:pPr>
      <w:r w:rsidRPr="00B039EB">
        <w:rPr>
          <w:rFonts w:ascii="Cambria-Bold" w:hAnsi="Cambria-Bold" w:cs="Cambria-Bold"/>
          <w:bCs/>
        </w:rPr>
        <w:t>Figure 1. Breakdown of patients according to age.</w:t>
      </w:r>
    </w:p>
    <w:p w:rsidR="00EE7E75" w:rsidRDefault="00EE7E75" w:rsidP="00996533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Cs/>
        </w:rPr>
      </w:pPr>
    </w:p>
    <w:p w:rsidR="00EE7E75" w:rsidRDefault="00EE7E75" w:rsidP="00996533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Cs/>
        </w:rPr>
      </w:pPr>
    </w:p>
    <w:p w:rsidR="00EE7E75" w:rsidRDefault="00EE7E75" w:rsidP="00996533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Cs/>
        </w:rPr>
      </w:pPr>
    </w:p>
    <w:p w:rsidR="00EE7E75" w:rsidRDefault="00EE7E75" w:rsidP="00996533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Cs/>
        </w:rPr>
      </w:pPr>
    </w:p>
    <w:p w:rsidR="00EE7E75" w:rsidRDefault="00EE7E75" w:rsidP="00996533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Cs/>
        </w:rPr>
      </w:pPr>
    </w:p>
    <w:p w:rsidR="00EE7E75" w:rsidRDefault="00EE7E75" w:rsidP="00996533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Cs/>
        </w:rPr>
      </w:pPr>
      <w:r>
        <w:rPr>
          <w:rFonts w:ascii="Cambria-Bold" w:hAnsi="Cambria-Bold" w:cs="Cambria-Bold"/>
          <w:bCs/>
        </w:rPr>
        <w:lastRenderedPageBreak/>
        <w:t>Table : Patient survival time</w:t>
      </w:r>
    </w:p>
    <w:p w:rsidR="00B039EB" w:rsidRDefault="00B039EB" w:rsidP="00996533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Cs/>
        </w:rPr>
      </w:pPr>
    </w:p>
    <w:tbl>
      <w:tblPr>
        <w:tblStyle w:val="Ombrageclai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3018"/>
        <w:gridCol w:w="3019"/>
        <w:gridCol w:w="3025"/>
      </w:tblGrid>
      <w:tr w:rsidR="00EE7E75" w:rsidRPr="00333302" w:rsidTr="00F3070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EE7E75" w:rsidRPr="00333302" w:rsidRDefault="00EE7E75" w:rsidP="00F3070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Survival duration (month)</w:t>
            </w:r>
          </w:p>
        </w:tc>
        <w:tc>
          <w:tcPr>
            <w:tcW w:w="306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EE7E75" w:rsidRPr="00333302" w:rsidRDefault="00EE7E75" w:rsidP="00F3070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Number</w:t>
            </w:r>
            <w:r w:rsidRPr="003333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306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EE7E75" w:rsidRPr="00333302" w:rsidRDefault="00EE7E75" w:rsidP="00F3070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Pe</w:t>
            </w:r>
            <w:r w:rsidRPr="003333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rcentage (%)</w:t>
            </w:r>
          </w:p>
        </w:tc>
      </w:tr>
      <w:tr w:rsidR="00EE7E75" w:rsidRPr="00333302" w:rsidTr="00F307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8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EE7E75" w:rsidRPr="00333302" w:rsidRDefault="00EE7E75" w:rsidP="00F3070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&lt; 6 </w:t>
            </w:r>
          </w:p>
        </w:tc>
        <w:tc>
          <w:tcPr>
            <w:tcW w:w="3069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EE7E75" w:rsidRPr="00333302" w:rsidRDefault="00EE7E75" w:rsidP="00F3070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333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24</w:t>
            </w:r>
          </w:p>
        </w:tc>
        <w:tc>
          <w:tcPr>
            <w:tcW w:w="3069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EE7E75" w:rsidRPr="00333302" w:rsidRDefault="00EE7E75" w:rsidP="00F3070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333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50,0</w:t>
            </w:r>
          </w:p>
        </w:tc>
      </w:tr>
      <w:tr w:rsidR="00EE7E75" w:rsidRPr="00333302" w:rsidTr="00F3070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8" w:type="dxa"/>
            <w:shd w:val="clear" w:color="auto" w:fill="auto"/>
          </w:tcPr>
          <w:p w:rsidR="00EE7E75" w:rsidRPr="00333302" w:rsidRDefault="00EE7E75" w:rsidP="00F3070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6- 12 </w:t>
            </w:r>
          </w:p>
        </w:tc>
        <w:tc>
          <w:tcPr>
            <w:tcW w:w="3069" w:type="dxa"/>
            <w:shd w:val="clear" w:color="auto" w:fill="auto"/>
          </w:tcPr>
          <w:p w:rsidR="00EE7E75" w:rsidRPr="00333302" w:rsidRDefault="00EE7E75" w:rsidP="00F3070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333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3069" w:type="dxa"/>
            <w:shd w:val="clear" w:color="auto" w:fill="auto"/>
          </w:tcPr>
          <w:p w:rsidR="00EE7E75" w:rsidRPr="00333302" w:rsidRDefault="00EE7E75" w:rsidP="00F3070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333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27,1</w:t>
            </w:r>
          </w:p>
        </w:tc>
      </w:tr>
      <w:tr w:rsidR="00EE7E75" w:rsidRPr="00333302" w:rsidTr="00F307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8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EE7E75" w:rsidRPr="00333302" w:rsidRDefault="00EE7E75" w:rsidP="00F3070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13-24 </w:t>
            </w:r>
          </w:p>
        </w:tc>
        <w:tc>
          <w:tcPr>
            <w:tcW w:w="3069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EE7E75" w:rsidRPr="00333302" w:rsidRDefault="00EE7E75" w:rsidP="00F3070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333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3069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:rsidR="00EE7E75" w:rsidRPr="00333302" w:rsidRDefault="00EE7E75" w:rsidP="00F3070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333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10,4</w:t>
            </w:r>
          </w:p>
        </w:tc>
      </w:tr>
      <w:tr w:rsidR="00EE7E75" w:rsidRPr="00333302" w:rsidTr="00F3070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8" w:type="dxa"/>
            <w:shd w:val="clear" w:color="auto" w:fill="auto"/>
          </w:tcPr>
          <w:p w:rsidR="00EE7E75" w:rsidRPr="00333302" w:rsidRDefault="00EE7E75" w:rsidP="00F3070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&gt;24 </w:t>
            </w:r>
          </w:p>
        </w:tc>
        <w:tc>
          <w:tcPr>
            <w:tcW w:w="3069" w:type="dxa"/>
            <w:shd w:val="clear" w:color="auto" w:fill="auto"/>
          </w:tcPr>
          <w:p w:rsidR="00EE7E75" w:rsidRPr="00333302" w:rsidRDefault="00EE7E75" w:rsidP="00F3070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333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3069" w:type="dxa"/>
            <w:shd w:val="clear" w:color="auto" w:fill="auto"/>
          </w:tcPr>
          <w:p w:rsidR="00EE7E75" w:rsidRPr="00333302" w:rsidRDefault="00EE7E75" w:rsidP="00F3070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333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12,5</w:t>
            </w:r>
          </w:p>
        </w:tc>
      </w:tr>
      <w:tr w:rsidR="00EE7E75" w:rsidRPr="00333302" w:rsidTr="00F30700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EE7E75" w:rsidRPr="00333302" w:rsidRDefault="00EE7E75" w:rsidP="00F3070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</w:rPr>
            </w:pPr>
            <w:r w:rsidRPr="00333302"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</w:rPr>
              <w:t xml:space="preserve">Total </w:t>
            </w:r>
          </w:p>
        </w:tc>
        <w:tc>
          <w:tcPr>
            <w:tcW w:w="306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EE7E75" w:rsidRPr="00333302" w:rsidRDefault="00EE7E75" w:rsidP="00F3070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</w:rPr>
            </w:pPr>
            <w:r w:rsidRPr="00333302"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</w:rPr>
              <w:t>48</w:t>
            </w:r>
          </w:p>
        </w:tc>
        <w:tc>
          <w:tcPr>
            <w:tcW w:w="306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EE7E75" w:rsidRPr="00333302" w:rsidRDefault="00EE7E75" w:rsidP="00F3070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</w:rPr>
            </w:pPr>
            <w:r w:rsidRPr="00333302"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</w:rPr>
              <w:t>100</w:t>
            </w:r>
          </w:p>
        </w:tc>
      </w:tr>
    </w:tbl>
    <w:p w:rsidR="00B039EB" w:rsidRDefault="00B039EB" w:rsidP="00996533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Cs/>
        </w:rPr>
      </w:pPr>
    </w:p>
    <w:p w:rsidR="00957DD3" w:rsidRDefault="00957DD3" w:rsidP="00996533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Cs/>
        </w:rPr>
      </w:pPr>
    </w:p>
    <w:p w:rsidR="003549BE" w:rsidRDefault="003549BE" w:rsidP="003549BE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color w:val="943634"/>
          <w:sz w:val="24"/>
          <w:szCs w:val="24"/>
        </w:rPr>
      </w:pPr>
      <w:r>
        <w:rPr>
          <w:rFonts w:ascii="Cambria-Bold" w:hAnsi="Cambria-Bold" w:cs="Cambria-Bold"/>
          <w:b/>
          <w:bCs/>
          <w:color w:val="943634"/>
          <w:sz w:val="24"/>
          <w:szCs w:val="24"/>
        </w:rPr>
        <w:t>References</w:t>
      </w:r>
    </w:p>
    <w:p w:rsidR="003549BE" w:rsidRPr="003549BE" w:rsidRDefault="003549BE" w:rsidP="003549BE">
      <w:pPr>
        <w:autoSpaceDE w:val="0"/>
        <w:autoSpaceDN w:val="0"/>
        <w:adjustRightInd w:val="0"/>
        <w:spacing w:after="0" w:line="240" w:lineRule="auto"/>
        <w:rPr>
          <w:rFonts w:ascii="MinionPro-Capt" w:hAnsi="MinionPro-Capt" w:cs="MinionPro-Capt"/>
          <w:color w:val="000000"/>
          <w:sz w:val="18"/>
          <w:szCs w:val="18"/>
        </w:rPr>
      </w:pPr>
      <w:r>
        <w:rPr>
          <w:rFonts w:ascii="MinionPro-Capt" w:hAnsi="MinionPro-Capt" w:cs="MinionPro-Capt"/>
          <w:color w:val="000000"/>
          <w:sz w:val="18"/>
          <w:szCs w:val="18"/>
        </w:rPr>
        <w:t xml:space="preserve">[1] Aparicot, T., Yacoub, M., Karila-Cohen, P., </w:t>
      </w:r>
      <w:r>
        <w:rPr>
          <w:rFonts w:ascii="MinionPro-Capt" w:hAnsi="MinionPro-Capt" w:cs="MinionPro-Capt"/>
          <w:color w:val="000000"/>
          <w:sz w:val="19"/>
          <w:szCs w:val="19"/>
        </w:rPr>
        <w:t xml:space="preserve">et al </w:t>
      </w:r>
      <w:r>
        <w:rPr>
          <w:rFonts w:ascii="MinionPro-Capt" w:hAnsi="MinionPro-Capt" w:cs="MinionPro-Capt"/>
          <w:color w:val="000000"/>
          <w:sz w:val="18"/>
          <w:szCs w:val="18"/>
        </w:rPr>
        <w:t>. (</w:t>
      </w:r>
      <w:r>
        <w:rPr>
          <w:rFonts w:ascii="MinionPro-Capt" w:hAnsi="MinionPro-Capt" w:cs="MinionPro-Capt"/>
          <w:color w:val="000000"/>
          <w:sz w:val="18"/>
          <w:szCs w:val="18"/>
        </w:rPr>
        <w:t xml:space="preserve">2004) Adénocarcinome gastrique: </w:t>
      </w:r>
      <w:r>
        <w:rPr>
          <w:rFonts w:ascii="MinionPro-Capt" w:hAnsi="MinionPro-Capt" w:cs="MinionPro-Capt"/>
          <w:color w:val="000000"/>
          <w:sz w:val="18"/>
          <w:szCs w:val="18"/>
        </w:rPr>
        <w:t xml:space="preserve">Notions fondamentales, diagnostic et traitement. </w:t>
      </w:r>
      <w:r>
        <w:rPr>
          <w:rFonts w:ascii="MinionPro-Capt" w:hAnsi="MinionPro-Capt" w:cs="MinionPro-Capt"/>
          <w:color w:val="000000"/>
          <w:sz w:val="19"/>
          <w:szCs w:val="19"/>
        </w:rPr>
        <w:t>EMC</w:t>
      </w:r>
      <w:r>
        <w:rPr>
          <w:rFonts w:ascii="MinionPro-Capt" w:hAnsi="MinionPro-Capt" w:cs="MinionPro-Capt"/>
          <w:color w:val="000000"/>
          <w:sz w:val="18"/>
          <w:szCs w:val="18"/>
        </w:rPr>
        <w:t xml:space="preserve">-Chirurgie, 1, 47-66. </w:t>
      </w:r>
      <w:r>
        <w:rPr>
          <w:rFonts w:ascii="MinionPro-Capt" w:hAnsi="MinionPro-Capt" w:cs="MinionPro-Capt"/>
          <w:color w:val="0000FF"/>
          <w:sz w:val="18"/>
          <w:szCs w:val="18"/>
        </w:rPr>
        <w:t>https://doi.org/10.1016/j.emcchi.2003.10.003</w:t>
      </w:r>
    </w:p>
    <w:p w:rsidR="003549BE" w:rsidRDefault="003549BE" w:rsidP="003549BE">
      <w:pPr>
        <w:autoSpaceDE w:val="0"/>
        <w:autoSpaceDN w:val="0"/>
        <w:adjustRightInd w:val="0"/>
        <w:spacing w:after="0" w:line="240" w:lineRule="auto"/>
        <w:rPr>
          <w:rFonts w:ascii="MinionPro-Capt" w:hAnsi="MinionPro-Capt" w:cs="MinionPro-Capt"/>
          <w:color w:val="000000"/>
          <w:sz w:val="18"/>
          <w:szCs w:val="18"/>
        </w:rPr>
      </w:pPr>
      <w:r>
        <w:rPr>
          <w:rFonts w:ascii="MinionPro-Capt" w:hAnsi="MinionPro-Capt" w:cs="MinionPro-Capt"/>
          <w:color w:val="000000"/>
          <w:sz w:val="18"/>
          <w:szCs w:val="18"/>
        </w:rPr>
        <w:t xml:space="preserve">[2] Richard, N., </w:t>
      </w:r>
      <w:r>
        <w:rPr>
          <w:rFonts w:ascii="MinionPro-Capt" w:hAnsi="MinionPro-Capt" w:cs="MinionPro-Capt"/>
          <w:color w:val="000000"/>
          <w:sz w:val="19"/>
          <w:szCs w:val="19"/>
        </w:rPr>
        <w:t xml:space="preserve">et al </w:t>
      </w:r>
      <w:r>
        <w:rPr>
          <w:rFonts w:ascii="MinionPro-Capt" w:hAnsi="MinionPro-Capt" w:cs="MinionPro-Capt"/>
          <w:color w:val="000000"/>
          <w:sz w:val="18"/>
          <w:szCs w:val="18"/>
        </w:rPr>
        <w:t xml:space="preserve">. (2019) Cancers de l’estomac. </w:t>
      </w:r>
      <w:r>
        <w:rPr>
          <w:rFonts w:ascii="MinionPro-Capt" w:hAnsi="MinionPro-Capt" w:cs="MinionPro-Capt"/>
          <w:color w:val="000000"/>
          <w:sz w:val="19"/>
          <w:szCs w:val="19"/>
        </w:rPr>
        <w:t xml:space="preserve">Traité de medicine AKOS </w:t>
      </w:r>
      <w:r>
        <w:rPr>
          <w:rFonts w:ascii="MinionPro-Capt" w:hAnsi="MinionPro-Capt" w:cs="MinionPro-Capt"/>
          <w:color w:val="000000"/>
          <w:sz w:val="18"/>
          <w:szCs w:val="18"/>
        </w:rPr>
        <w:t>, 2, 1-7.</w:t>
      </w:r>
    </w:p>
    <w:p w:rsidR="003549BE" w:rsidRPr="003549BE" w:rsidRDefault="003549BE" w:rsidP="003549BE">
      <w:pPr>
        <w:autoSpaceDE w:val="0"/>
        <w:autoSpaceDN w:val="0"/>
        <w:adjustRightInd w:val="0"/>
        <w:spacing w:after="0" w:line="240" w:lineRule="auto"/>
        <w:rPr>
          <w:rFonts w:ascii="MinionPro-Capt" w:hAnsi="MinionPro-Capt" w:cs="MinionPro-Capt"/>
          <w:color w:val="000000"/>
          <w:sz w:val="19"/>
          <w:szCs w:val="19"/>
        </w:rPr>
      </w:pPr>
      <w:r>
        <w:rPr>
          <w:rFonts w:ascii="MinionPro-Capt" w:hAnsi="MinionPro-Capt" w:cs="MinionPro-Capt"/>
          <w:color w:val="000000"/>
          <w:sz w:val="18"/>
          <w:szCs w:val="18"/>
        </w:rPr>
        <w:t xml:space="preserve">[3] Gangloff, A. and Michel, P. (2013) Cancers de l’estomac. </w:t>
      </w:r>
      <w:r>
        <w:rPr>
          <w:rFonts w:ascii="MinionPro-Capt" w:hAnsi="MinionPro-Capt" w:cs="MinionPro-Capt"/>
          <w:color w:val="000000"/>
          <w:sz w:val="19"/>
          <w:szCs w:val="19"/>
        </w:rPr>
        <w:t>EMC</w:t>
      </w:r>
      <w:r>
        <w:rPr>
          <w:rFonts w:ascii="MinionPro-Capt" w:hAnsi="MinionPro-Capt" w:cs="MinionPro-Capt"/>
          <w:color w:val="000000"/>
          <w:sz w:val="18"/>
          <w:szCs w:val="18"/>
        </w:rPr>
        <w:t>-</w:t>
      </w:r>
      <w:r>
        <w:rPr>
          <w:rFonts w:ascii="MinionPro-Capt" w:hAnsi="MinionPro-Capt" w:cs="MinionPro-Capt"/>
          <w:color w:val="000000"/>
          <w:sz w:val="19"/>
          <w:szCs w:val="19"/>
        </w:rPr>
        <w:t xml:space="preserve">AKOS </w:t>
      </w:r>
      <w:r>
        <w:rPr>
          <w:rFonts w:ascii="MinionPro-Capt" w:hAnsi="MinionPro-Capt" w:cs="MinionPro-Capt"/>
          <w:color w:val="000000"/>
          <w:sz w:val="18"/>
          <w:szCs w:val="18"/>
        </w:rPr>
        <w:t>(</w:t>
      </w:r>
      <w:r>
        <w:rPr>
          <w:rFonts w:ascii="MinionPro-Capt" w:hAnsi="MinionPro-Capt" w:cs="MinionPro-Capt"/>
          <w:color w:val="000000"/>
          <w:sz w:val="19"/>
          <w:szCs w:val="19"/>
        </w:rPr>
        <w:t xml:space="preserve">Traité de </w:t>
      </w:r>
      <w:r>
        <w:rPr>
          <w:rFonts w:ascii="MinionPro-Capt" w:hAnsi="MinionPro-Capt" w:cs="MinionPro-Capt"/>
          <w:color w:val="000000"/>
          <w:sz w:val="19"/>
          <w:szCs w:val="19"/>
        </w:rPr>
        <w:t xml:space="preserve">Médecine </w:t>
      </w:r>
      <w:r>
        <w:rPr>
          <w:rFonts w:ascii="MinionPro-Capt" w:hAnsi="MinionPro-Capt" w:cs="MinionPro-Capt"/>
          <w:color w:val="000000"/>
          <w:sz w:val="18"/>
          <w:szCs w:val="18"/>
        </w:rPr>
        <w:t>), 8, 1-6.</w:t>
      </w:r>
    </w:p>
    <w:p w:rsidR="003549BE" w:rsidRDefault="003549BE" w:rsidP="003549BE">
      <w:pPr>
        <w:autoSpaceDE w:val="0"/>
        <w:autoSpaceDN w:val="0"/>
        <w:adjustRightInd w:val="0"/>
        <w:spacing w:after="0" w:line="240" w:lineRule="auto"/>
        <w:rPr>
          <w:rFonts w:ascii="MinionPro-Capt" w:hAnsi="MinionPro-Capt" w:cs="MinionPro-Capt"/>
          <w:color w:val="000000"/>
          <w:sz w:val="18"/>
          <w:szCs w:val="18"/>
        </w:rPr>
      </w:pPr>
      <w:r>
        <w:rPr>
          <w:rFonts w:ascii="MinionPro-Capt" w:hAnsi="MinionPro-Capt" w:cs="MinionPro-Capt"/>
          <w:color w:val="000000"/>
          <w:sz w:val="18"/>
          <w:szCs w:val="18"/>
        </w:rPr>
        <w:t xml:space="preserve">[4] Correa, P., Haenszel, W., Cuello, C., Zavala, D., Fontham, E., Zarama, G., </w:t>
      </w:r>
      <w:r>
        <w:rPr>
          <w:rFonts w:ascii="MinionPro-Capt" w:hAnsi="MinionPro-Capt" w:cs="MinionPro-Capt"/>
          <w:color w:val="000000"/>
          <w:sz w:val="19"/>
          <w:szCs w:val="19"/>
        </w:rPr>
        <w:t xml:space="preserve">et al </w:t>
      </w:r>
      <w:r>
        <w:rPr>
          <w:rFonts w:ascii="MinionPro-Capt" w:hAnsi="MinionPro-Capt" w:cs="MinionPro-Capt"/>
          <w:color w:val="000000"/>
          <w:sz w:val="18"/>
          <w:szCs w:val="18"/>
        </w:rPr>
        <w:t xml:space="preserve">. </w:t>
      </w:r>
      <w:r>
        <w:rPr>
          <w:rFonts w:ascii="MinionPro-Capt" w:hAnsi="MinionPro-Capt" w:cs="MinionPro-Capt"/>
          <w:color w:val="000000"/>
          <w:sz w:val="18"/>
          <w:szCs w:val="18"/>
        </w:rPr>
        <w:t>(1990) Gastric Precancerous Process in a High Ris</w:t>
      </w:r>
      <w:r>
        <w:rPr>
          <w:rFonts w:ascii="MinionPro-Capt" w:hAnsi="MinionPro-Capt" w:cs="MinionPro-Capt"/>
          <w:color w:val="000000"/>
          <w:sz w:val="18"/>
          <w:szCs w:val="18"/>
        </w:rPr>
        <w:t xml:space="preserve">k Population: Cohort Follow-Up. </w:t>
      </w:r>
      <w:r>
        <w:rPr>
          <w:rFonts w:ascii="MinionPro-Capt" w:hAnsi="MinionPro-Capt" w:cs="MinionPro-Capt"/>
          <w:color w:val="000000"/>
          <w:sz w:val="19"/>
          <w:szCs w:val="19"/>
        </w:rPr>
        <w:t>Cancer Research</w:t>
      </w:r>
      <w:r>
        <w:rPr>
          <w:rFonts w:ascii="MinionPro-Capt" w:hAnsi="MinionPro-Capt" w:cs="MinionPro-Capt"/>
          <w:color w:val="000000"/>
          <w:sz w:val="18"/>
          <w:szCs w:val="18"/>
        </w:rPr>
        <w:t>, 50, 4737-4740.</w:t>
      </w:r>
    </w:p>
    <w:p w:rsidR="003549BE" w:rsidRPr="003549BE" w:rsidRDefault="003549BE" w:rsidP="003549BE">
      <w:pPr>
        <w:autoSpaceDE w:val="0"/>
        <w:autoSpaceDN w:val="0"/>
        <w:adjustRightInd w:val="0"/>
        <w:spacing w:after="0" w:line="240" w:lineRule="auto"/>
        <w:rPr>
          <w:rFonts w:ascii="MinionPro-Capt" w:hAnsi="MinionPro-Capt" w:cs="MinionPro-Capt"/>
          <w:color w:val="000000"/>
          <w:sz w:val="18"/>
          <w:szCs w:val="18"/>
        </w:rPr>
      </w:pPr>
      <w:r>
        <w:rPr>
          <w:rFonts w:ascii="MinionPro-Capt" w:hAnsi="MinionPro-Capt" w:cs="MinionPro-Capt"/>
          <w:color w:val="000000"/>
          <w:sz w:val="18"/>
          <w:szCs w:val="18"/>
        </w:rPr>
        <w:t>[5] D’Elia, L., Rossi, G., Ippolito, R., Cappuccio, F.P. and</w:t>
      </w:r>
      <w:r>
        <w:rPr>
          <w:rFonts w:ascii="MinionPro-Capt" w:hAnsi="MinionPro-Capt" w:cs="MinionPro-Capt"/>
          <w:color w:val="000000"/>
          <w:sz w:val="18"/>
          <w:szCs w:val="18"/>
        </w:rPr>
        <w:t xml:space="preserve"> Strazzullo, P. (2012) Habitual Salt Intake and Risk of Gastric </w:t>
      </w:r>
      <w:r>
        <w:rPr>
          <w:rFonts w:ascii="MinionPro-Capt" w:hAnsi="MinionPro-Capt" w:cs="MinionPro-Capt"/>
          <w:color w:val="000000"/>
          <w:sz w:val="18"/>
          <w:szCs w:val="18"/>
        </w:rPr>
        <w:t>Cancer: A Meta-A</w:t>
      </w:r>
      <w:r>
        <w:rPr>
          <w:rFonts w:ascii="MinionPro-Capt" w:hAnsi="MinionPro-Capt" w:cs="MinionPro-Capt"/>
          <w:color w:val="000000"/>
          <w:sz w:val="18"/>
          <w:szCs w:val="18"/>
        </w:rPr>
        <w:t xml:space="preserve">nalysis of Prospective Studies. </w:t>
      </w:r>
      <w:r>
        <w:rPr>
          <w:rFonts w:ascii="MinionPro-Capt" w:hAnsi="MinionPro-Capt" w:cs="MinionPro-Capt"/>
          <w:color w:val="000000"/>
          <w:sz w:val="19"/>
          <w:szCs w:val="19"/>
        </w:rPr>
        <w:t>Clinical Nutrition</w:t>
      </w:r>
      <w:r>
        <w:rPr>
          <w:rFonts w:ascii="MinionPro-Capt" w:hAnsi="MinionPro-Capt" w:cs="MinionPro-Capt"/>
          <w:color w:val="000000"/>
          <w:sz w:val="18"/>
          <w:szCs w:val="18"/>
        </w:rPr>
        <w:t xml:space="preserve">, 31, 489-498. </w:t>
      </w:r>
      <w:r>
        <w:rPr>
          <w:rFonts w:ascii="MinionPro-Capt" w:hAnsi="MinionPro-Capt" w:cs="MinionPro-Capt"/>
          <w:color w:val="0000FF"/>
          <w:sz w:val="18"/>
          <w:szCs w:val="18"/>
        </w:rPr>
        <w:t>https://doi.org/10.1016/j.clnu.2012.01.003</w:t>
      </w:r>
    </w:p>
    <w:p w:rsidR="003549BE" w:rsidRPr="003549BE" w:rsidRDefault="003549BE" w:rsidP="003549BE">
      <w:pPr>
        <w:autoSpaceDE w:val="0"/>
        <w:autoSpaceDN w:val="0"/>
        <w:adjustRightInd w:val="0"/>
        <w:spacing w:after="0" w:line="240" w:lineRule="auto"/>
        <w:rPr>
          <w:rFonts w:ascii="MinionPro-Capt" w:hAnsi="MinionPro-Capt" w:cs="MinionPro-Capt"/>
          <w:color w:val="000000"/>
          <w:sz w:val="18"/>
          <w:szCs w:val="18"/>
        </w:rPr>
      </w:pPr>
      <w:r>
        <w:rPr>
          <w:rFonts w:ascii="MinionPro-Capt" w:hAnsi="MinionPro-Capt" w:cs="MinionPro-Capt"/>
          <w:color w:val="000000"/>
          <w:sz w:val="18"/>
          <w:szCs w:val="18"/>
        </w:rPr>
        <w:t>[6] Ajani, J.A., Lee, J., Sano, T., Janjigian, Y.Y., Fan,</w:t>
      </w:r>
      <w:r>
        <w:rPr>
          <w:rFonts w:ascii="MinionPro-Capt" w:hAnsi="MinionPro-Capt" w:cs="MinionPro-Capt"/>
          <w:color w:val="000000"/>
          <w:sz w:val="18"/>
          <w:szCs w:val="18"/>
        </w:rPr>
        <w:t xml:space="preserve"> D. and Song, S. (2017) Gastric </w:t>
      </w:r>
      <w:r>
        <w:rPr>
          <w:rFonts w:ascii="MinionPro-Capt" w:hAnsi="MinionPro-Capt" w:cs="MinionPro-Capt"/>
          <w:color w:val="000000"/>
          <w:sz w:val="18"/>
          <w:szCs w:val="18"/>
        </w:rPr>
        <w:t xml:space="preserve">Adenocarcinoma. </w:t>
      </w:r>
      <w:r>
        <w:rPr>
          <w:rFonts w:ascii="MinionPro-Capt" w:hAnsi="MinionPro-Capt" w:cs="MinionPro-Capt"/>
          <w:color w:val="000000"/>
          <w:sz w:val="19"/>
          <w:szCs w:val="19"/>
        </w:rPr>
        <w:t xml:space="preserve">Nature Reviews </w:t>
      </w:r>
      <w:r>
        <w:rPr>
          <w:rFonts w:ascii="MinionPro-Capt" w:hAnsi="MinionPro-Capt" w:cs="MinionPro-Capt"/>
          <w:color w:val="000000"/>
          <w:sz w:val="19"/>
          <w:szCs w:val="19"/>
        </w:rPr>
        <w:t xml:space="preserve">Disease Primers </w:t>
      </w:r>
      <w:r>
        <w:rPr>
          <w:rFonts w:ascii="MinionPro-Capt" w:hAnsi="MinionPro-Capt" w:cs="MinionPro-Capt"/>
          <w:color w:val="000000"/>
          <w:sz w:val="18"/>
          <w:szCs w:val="18"/>
        </w:rPr>
        <w:t xml:space="preserve">, 3, Article No. 17036. </w:t>
      </w:r>
      <w:r>
        <w:rPr>
          <w:rFonts w:ascii="MinionPro-Capt" w:hAnsi="MinionPro-Capt" w:cs="MinionPro-Capt"/>
          <w:color w:val="0000FF"/>
          <w:sz w:val="18"/>
          <w:szCs w:val="18"/>
        </w:rPr>
        <w:t>https://doi.org/10.1038/nrdp.2017.36</w:t>
      </w:r>
    </w:p>
    <w:p w:rsidR="003549BE" w:rsidRPr="003549BE" w:rsidRDefault="003549BE" w:rsidP="003549BE">
      <w:pPr>
        <w:autoSpaceDE w:val="0"/>
        <w:autoSpaceDN w:val="0"/>
        <w:adjustRightInd w:val="0"/>
        <w:spacing w:after="0" w:line="240" w:lineRule="auto"/>
        <w:rPr>
          <w:rFonts w:ascii="MinionPro-Capt" w:hAnsi="MinionPro-Capt" w:cs="MinionPro-Capt"/>
          <w:color w:val="000000"/>
          <w:sz w:val="18"/>
          <w:szCs w:val="18"/>
        </w:rPr>
      </w:pPr>
      <w:r>
        <w:rPr>
          <w:rFonts w:ascii="MinionPro-Capt" w:hAnsi="MinionPro-Capt" w:cs="MinionPro-Capt"/>
          <w:color w:val="000000"/>
          <w:sz w:val="18"/>
          <w:szCs w:val="18"/>
        </w:rPr>
        <w:t xml:space="preserve">[7] Watabe, H., Mitsushima, T., Yamaji, Y., </w:t>
      </w:r>
      <w:r>
        <w:rPr>
          <w:rFonts w:ascii="MinionPro-Capt" w:hAnsi="MinionPro-Capt" w:cs="MinionPro-Capt"/>
          <w:color w:val="000000"/>
          <w:sz w:val="19"/>
          <w:szCs w:val="19"/>
        </w:rPr>
        <w:t xml:space="preserve">et al </w:t>
      </w:r>
      <w:r>
        <w:rPr>
          <w:rFonts w:ascii="MinionPro-Capt" w:hAnsi="MinionPro-Capt" w:cs="MinionPro-Capt"/>
          <w:color w:val="000000"/>
          <w:sz w:val="18"/>
          <w:szCs w:val="18"/>
        </w:rPr>
        <w:t>. (2</w:t>
      </w:r>
      <w:r>
        <w:rPr>
          <w:rFonts w:ascii="MinionPro-Capt" w:hAnsi="MinionPro-Capt" w:cs="MinionPro-Capt"/>
          <w:color w:val="000000"/>
          <w:sz w:val="18"/>
          <w:szCs w:val="18"/>
        </w:rPr>
        <w:t xml:space="preserve">005) Prévision du développement </w:t>
      </w:r>
      <w:r>
        <w:rPr>
          <w:rFonts w:ascii="MinionPro-Capt" w:hAnsi="MinionPro-Capt" w:cs="MinionPro-Capt"/>
          <w:color w:val="000000"/>
          <w:sz w:val="18"/>
          <w:szCs w:val="18"/>
        </w:rPr>
        <w:t xml:space="preserve">du </w:t>
      </w:r>
      <w:r>
        <w:rPr>
          <w:rFonts w:ascii="MinionPro-Capt" w:hAnsi="MinionPro-Capt" w:cs="MinionPro-Capt"/>
          <w:color w:val="000000"/>
          <w:sz w:val="18"/>
          <w:szCs w:val="18"/>
        </w:rPr>
        <w:t xml:space="preserve">cancer gastrique à partir de la </w:t>
      </w:r>
      <w:r>
        <w:rPr>
          <w:rFonts w:ascii="MinionPro-Capt" w:hAnsi="MinionPro-Capt" w:cs="MinionPro-Capt"/>
          <w:color w:val="000000"/>
          <w:sz w:val="18"/>
          <w:szCs w:val="18"/>
        </w:rPr>
        <w:t>combinaison des anticorps d’</w:t>
      </w:r>
      <w:r>
        <w:rPr>
          <w:rFonts w:ascii="MinionPro-Capt" w:hAnsi="MinionPro-Capt" w:cs="MinionPro-Capt"/>
          <w:color w:val="000000"/>
          <w:sz w:val="19"/>
          <w:szCs w:val="19"/>
        </w:rPr>
        <w:t xml:space="preserve">Helicobacter pylori </w:t>
      </w:r>
      <w:r>
        <w:rPr>
          <w:rFonts w:ascii="MinionPro-Capt" w:hAnsi="MinionPro-Capt" w:cs="MinionPro-Capt"/>
          <w:color w:val="000000"/>
          <w:sz w:val="18"/>
          <w:szCs w:val="18"/>
        </w:rPr>
        <w:t xml:space="preserve">et </w:t>
      </w:r>
      <w:r>
        <w:rPr>
          <w:rFonts w:ascii="MinionPro-Capt" w:hAnsi="MinionPro-Capt" w:cs="MinionPro-Capt"/>
          <w:color w:val="000000"/>
          <w:sz w:val="18"/>
          <w:szCs w:val="18"/>
        </w:rPr>
        <w:t>du statut des pepsinogènes sériques: Une étude de co</w:t>
      </w:r>
      <w:r>
        <w:rPr>
          <w:rFonts w:ascii="MinionPro-Capt" w:hAnsi="MinionPro-Capt" w:cs="MinionPro-Capt"/>
          <w:color w:val="000000"/>
          <w:sz w:val="18"/>
          <w:szCs w:val="18"/>
        </w:rPr>
        <w:t xml:space="preserve">horte endoscopique prospective. </w:t>
      </w:r>
      <w:r>
        <w:rPr>
          <w:rFonts w:ascii="MinionPro-Capt" w:hAnsi="MinionPro-Capt" w:cs="MinionPro-Capt"/>
          <w:color w:val="000000"/>
          <w:sz w:val="19"/>
          <w:szCs w:val="19"/>
        </w:rPr>
        <w:t>Gut</w:t>
      </w:r>
      <w:r>
        <w:rPr>
          <w:rFonts w:ascii="MinionPro-Capt" w:hAnsi="MinionPro-Capt" w:cs="MinionPro-Capt"/>
          <w:color w:val="000000"/>
          <w:sz w:val="18"/>
          <w:szCs w:val="18"/>
        </w:rPr>
        <w:t xml:space="preserve">, 54, 764-768. </w:t>
      </w:r>
      <w:r>
        <w:rPr>
          <w:rFonts w:ascii="MinionPro-Capt" w:hAnsi="MinionPro-Capt" w:cs="MinionPro-Capt"/>
          <w:color w:val="0000FF"/>
          <w:sz w:val="18"/>
          <w:szCs w:val="18"/>
        </w:rPr>
        <w:t>https://doi.org/10.1136/gut.2004.055400</w:t>
      </w:r>
    </w:p>
    <w:p w:rsidR="003549BE" w:rsidRDefault="003549BE" w:rsidP="003549BE">
      <w:pPr>
        <w:autoSpaceDE w:val="0"/>
        <w:autoSpaceDN w:val="0"/>
        <w:adjustRightInd w:val="0"/>
        <w:spacing w:after="0" w:line="240" w:lineRule="auto"/>
        <w:rPr>
          <w:rFonts w:ascii="MinionPro-Capt" w:hAnsi="MinionPro-Capt" w:cs="MinionPro-Capt"/>
          <w:color w:val="000000"/>
          <w:sz w:val="18"/>
          <w:szCs w:val="18"/>
        </w:rPr>
      </w:pPr>
      <w:r>
        <w:rPr>
          <w:rFonts w:ascii="MinionPro-Capt" w:hAnsi="MinionPro-Capt" w:cs="MinionPro-Capt"/>
          <w:color w:val="000000"/>
          <w:sz w:val="18"/>
          <w:szCs w:val="18"/>
        </w:rPr>
        <w:t>[8] Ghizlane, H. (2016) L’adénocarcinome gastrique: Etud</w:t>
      </w:r>
      <w:r>
        <w:rPr>
          <w:rFonts w:ascii="MinionPro-Capt" w:hAnsi="MinionPro-Capt" w:cs="MinionPro-Capt"/>
          <w:color w:val="000000"/>
          <w:sz w:val="18"/>
          <w:szCs w:val="18"/>
        </w:rPr>
        <w:t xml:space="preserve">e analytique. Thèse de médecine </w:t>
      </w:r>
      <w:r>
        <w:rPr>
          <w:rFonts w:ascii="MinionPro-Capt" w:hAnsi="MinionPro-Capt" w:cs="MinionPro-Capt"/>
          <w:color w:val="000000"/>
          <w:sz w:val="18"/>
          <w:szCs w:val="18"/>
        </w:rPr>
        <w:t>FES N°051/16.</w:t>
      </w:r>
    </w:p>
    <w:p w:rsidR="003549BE" w:rsidRPr="003549BE" w:rsidRDefault="003549BE" w:rsidP="003549BE">
      <w:pPr>
        <w:autoSpaceDE w:val="0"/>
        <w:autoSpaceDN w:val="0"/>
        <w:adjustRightInd w:val="0"/>
        <w:spacing w:after="0" w:line="240" w:lineRule="auto"/>
        <w:rPr>
          <w:rFonts w:ascii="MinionPro-Capt" w:hAnsi="MinionPro-Capt" w:cs="MinionPro-Capt"/>
          <w:color w:val="000000"/>
          <w:sz w:val="18"/>
          <w:szCs w:val="18"/>
        </w:rPr>
      </w:pPr>
      <w:r>
        <w:rPr>
          <w:rFonts w:ascii="MinionPro-Capt" w:hAnsi="MinionPro-Capt" w:cs="MinionPro-Capt"/>
          <w:color w:val="000000"/>
          <w:sz w:val="18"/>
          <w:szCs w:val="18"/>
        </w:rPr>
        <w:t xml:space="preserve">[9] Lambert, R. (2010) Épidémiologie du cancer gastrique dans le monde. </w:t>
      </w:r>
      <w:r>
        <w:rPr>
          <w:rFonts w:ascii="MinionPro-Capt" w:hAnsi="MinionPro-Capt" w:cs="MinionPro-Capt"/>
          <w:color w:val="000000"/>
          <w:sz w:val="19"/>
          <w:szCs w:val="19"/>
        </w:rPr>
        <w:t>Cancéro digest</w:t>
      </w:r>
      <w:r>
        <w:rPr>
          <w:rFonts w:ascii="MinionPro-Capt" w:hAnsi="MinionPro-Capt" w:cs="MinionPro-Capt"/>
          <w:color w:val="000000"/>
          <w:sz w:val="18"/>
          <w:szCs w:val="18"/>
        </w:rPr>
        <w:t xml:space="preserve">, 2, 31-37. </w:t>
      </w:r>
      <w:r>
        <w:rPr>
          <w:rFonts w:ascii="MinionPro-Capt" w:hAnsi="MinionPro-Capt" w:cs="MinionPro-Capt"/>
          <w:color w:val="0000FF"/>
          <w:sz w:val="18"/>
          <w:szCs w:val="18"/>
        </w:rPr>
        <w:t>https://doi.org/10.4267/2042/30746</w:t>
      </w:r>
    </w:p>
    <w:p w:rsidR="003549BE" w:rsidRDefault="003549BE" w:rsidP="003549BE">
      <w:pPr>
        <w:autoSpaceDE w:val="0"/>
        <w:autoSpaceDN w:val="0"/>
        <w:adjustRightInd w:val="0"/>
        <w:spacing w:after="0" w:line="240" w:lineRule="auto"/>
        <w:rPr>
          <w:rFonts w:ascii="MinionPro-Capt" w:hAnsi="MinionPro-Capt" w:cs="MinionPro-Capt"/>
          <w:color w:val="000000"/>
          <w:sz w:val="18"/>
          <w:szCs w:val="18"/>
        </w:rPr>
      </w:pPr>
      <w:r>
        <w:rPr>
          <w:rFonts w:ascii="MinionPro-Capt" w:hAnsi="MinionPro-Capt" w:cs="MinionPro-Capt"/>
          <w:color w:val="000000"/>
          <w:sz w:val="18"/>
          <w:szCs w:val="18"/>
        </w:rPr>
        <w:t>[10] Faye, I.J. (2010) Prise en charge des cancers gas</w:t>
      </w:r>
      <w:r>
        <w:rPr>
          <w:rFonts w:ascii="MinionPro-Capt" w:hAnsi="MinionPro-Capt" w:cs="MinionPro-Capt"/>
          <w:color w:val="000000"/>
          <w:sz w:val="18"/>
          <w:szCs w:val="18"/>
        </w:rPr>
        <w:t xml:space="preserve">triques au service de chirurgie </w:t>
      </w:r>
      <w:r>
        <w:rPr>
          <w:rFonts w:ascii="MinionPro-Capt" w:hAnsi="MinionPro-Capt" w:cs="MinionPro-Capt"/>
          <w:color w:val="000000"/>
          <w:sz w:val="18"/>
          <w:szCs w:val="18"/>
        </w:rPr>
        <w:t>générale de l’hôpital Grand Yoff. Thèse de médecine, Dakar, N° 75.</w:t>
      </w:r>
    </w:p>
    <w:p w:rsidR="003549BE" w:rsidRDefault="003549BE" w:rsidP="003549BE">
      <w:pPr>
        <w:autoSpaceDE w:val="0"/>
        <w:autoSpaceDN w:val="0"/>
        <w:adjustRightInd w:val="0"/>
        <w:spacing w:after="0" w:line="240" w:lineRule="auto"/>
        <w:rPr>
          <w:rFonts w:ascii="MinionPro-Capt" w:hAnsi="MinionPro-Capt" w:cs="MinionPro-Capt"/>
          <w:color w:val="000000"/>
          <w:sz w:val="18"/>
          <w:szCs w:val="18"/>
        </w:rPr>
      </w:pPr>
      <w:r>
        <w:rPr>
          <w:rFonts w:ascii="MinionPro-Capt" w:hAnsi="MinionPro-Capt" w:cs="MinionPro-Capt"/>
          <w:color w:val="000000"/>
          <w:sz w:val="18"/>
          <w:szCs w:val="18"/>
        </w:rPr>
        <w:t>[11] Idrissi, S. (2013) Les cancers de l’estomac à l’institut Juliot curie de l’</w:t>
      </w:r>
      <w:r>
        <w:rPr>
          <w:rFonts w:ascii="MinionPro-Capt" w:hAnsi="MinionPro-Capt" w:cs="MinionPro-Capt"/>
          <w:color w:val="000000"/>
          <w:sz w:val="18"/>
          <w:szCs w:val="18"/>
        </w:rPr>
        <w:t xml:space="preserve">hôpital Aristide </w:t>
      </w:r>
      <w:r>
        <w:rPr>
          <w:rFonts w:ascii="MinionPro-Capt" w:hAnsi="MinionPro-Capt" w:cs="MinionPro-Capt"/>
          <w:color w:val="000000"/>
          <w:sz w:val="18"/>
          <w:szCs w:val="18"/>
        </w:rPr>
        <w:t>Le Dantec de Dakar à propos de 136 cas. Thèse de médecine, UCAD, N° 132.</w:t>
      </w:r>
    </w:p>
    <w:p w:rsidR="003549BE" w:rsidRPr="003549BE" w:rsidRDefault="003549BE" w:rsidP="003549BE">
      <w:pPr>
        <w:autoSpaceDE w:val="0"/>
        <w:autoSpaceDN w:val="0"/>
        <w:adjustRightInd w:val="0"/>
        <w:spacing w:after="0" w:line="240" w:lineRule="auto"/>
        <w:rPr>
          <w:rFonts w:ascii="MinionPro-Capt" w:hAnsi="MinionPro-Capt" w:cs="MinionPro-Capt"/>
          <w:color w:val="000000"/>
          <w:sz w:val="18"/>
          <w:szCs w:val="18"/>
        </w:rPr>
      </w:pPr>
      <w:r>
        <w:rPr>
          <w:rFonts w:ascii="MinionPro-Capt" w:hAnsi="MinionPro-Capt" w:cs="MinionPro-Capt"/>
          <w:color w:val="000000"/>
          <w:sz w:val="18"/>
          <w:szCs w:val="18"/>
        </w:rPr>
        <w:t xml:space="preserve">[12] Ladeiras-Lopes, R., Periera, A.K., Nogueira, A., </w:t>
      </w:r>
      <w:r>
        <w:rPr>
          <w:rFonts w:ascii="MinionPro-Capt" w:hAnsi="MinionPro-Capt" w:cs="MinionPro-Capt"/>
          <w:color w:val="000000"/>
          <w:sz w:val="19"/>
          <w:szCs w:val="19"/>
        </w:rPr>
        <w:t xml:space="preserve">et al </w:t>
      </w:r>
      <w:r>
        <w:rPr>
          <w:rFonts w:ascii="MinionPro-Capt" w:hAnsi="MinionPro-Capt" w:cs="MinionPro-Capt"/>
          <w:color w:val="000000"/>
          <w:sz w:val="18"/>
          <w:szCs w:val="18"/>
        </w:rPr>
        <w:t xml:space="preserve">. (2008) Smoking and Gastric </w:t>
      </w:r>
      <w:r>
        <w:rPr>
          <w:rFonts w:ascii="MinionPro-Capt" w:hAnsi="MinionPro-Capt" w:cs="MinionPro-Capt"/>
          <w:color w:val="000000"/>
          <w:sz w:val="18"/>
          <w:szCs w:val="18"/>
        </w:rPr>
        <w:t xml:space="preserve">Cancer: Systematic Review and Meta-Analysis of Cohort Studies. </w:t>
      </w:r>
      <w:r>
        <w:rPr>
          <w:rFonts w:ascii="MinionPro-Capt" w:hAnsi="MinionPro-Capt" w:cs="MinionPro-Capt"/>
          <w:color w:val="000000"/>
          <w:sz w:val="19"/>
          <w:szCs w:val="19"/>
        </w:rPr>
        <w:t xml:space="preserve">Cancer Causes </w:t>
      </w:r>
      <w:r>
        <w:rPr>
          <w:rFonts w:ascii="MinionPro-Capt" w:hAnsi="MinionPro-Capt" w:cs="MinionPro-Capt"/>
          <w:color w:val="000000"/>
          <w:sz w:val="19"/>
          <w:szCs w:val="19"/>
        </w:rPr>
        <w:t xml:space="preserve">Control </w:t>
      </w:r>
      <w:r>
        <w:rPr>
          <w:rFonts w:ascii="MinionPro-Capt" w:hAnsi="MinionPro-Capt" w:cs="MinionPro-Capt"/>
          <w:color w:val="000000"/>
          <w:sz w:val="18"/>
          <w:szCs w:val="18"/>
        </w:rPr>
        <w:t xml:space="preserve">, 19, 689. </w:t>
      </w:r>
      <w:r>
        <w:rPr>
          <w:rFonts w:ascii="MinionPro-Capt" w:hAnsi="MinionPro-Capt" w:cs="MinionPro-Capt"/>
          <w:color w:val="0000FF"/>
          <w:sz w:val="18"/>
          <w:szCs w:val="18"/>
        </w:rPr>
        <w:t>https://doi.org/10.1007/s10552-008-9132-y</w:t>
      </w:r>
    </w:p>
    <w:p w:rsidR="003549BE" w:rsidRPr="003549BE" w:rsidRDefault="003549BE" w:rsidP="003549BE">
      <w:pPr>
        <w:autoSpaceDE w:val="0"/>
        <w:autoSpaceDN w:val="0"/>
        <w:adjustRightInd w:val="0"/>
        <w:spacing w:after="0" w:line="240" w:lineRule="auto"/>
        <w:rPr>
          <w:rFonts w:ascii="MinionPro-Capt" w:hAnsi="MinionPro-Capt" w:cs="MinionPro-Capt"/>
          <w:color w:val="000000"/>
          <w:sz w:val="18"/>
          <w:szCs w:val="18"/>
        </w:rPr>
      </w:pPr>
      <w:r>
        <w:rPr>
          <w:rFonts w:ascii="MinionPro-Capt" w:hAnsi="MinionPro-Capt" w:cs="MinionPro-Capt"/>
          <w:color w:val="000000"/>
          <w:sz w:val="18"/>
          <w:szCs w:val="18"/>
        </w:rPr>
        <w:t xml:space="preserve">[13] Gpnzalez, C.A., Pera, G., Agudo, A., </w:t>
      </w:r>
      <w:r>
        <w:rPr>
          <w:rFonts w:ascii="MinionPro-Capt" w:hAnsi="MinionPro-Capt" w:cs="MinionPro-Capt"/>
          <w:color w:val="000000"/>
          <w:sz w:val="19"/>
          <w:szCs w:val="19"/>
        </w:rPr>
        <w:t xml:space="preserve">et al </w:t>
      </w:r>
      <w:r>
        <w:rPr>
          <w:rFonts w:ascii="MinionPro-Capt" w:hAnsi="MinionPro-Capt" w:cs="MinionPro-Capt"/>
          <w:color w:val="000000"/>
          <w:sz w:val="18"/>
          <w:szCs w:val="18"/>
        </w:rPr>
        <w:t>. (2003) Smoking and the Risk of Gastric</w:t>
      </w:r>
      <w:r>
        <w:rPr>
          <w:rFonts w:ascii="MinionPro-Capt" w:hAnsi="MinionPro-Capt" w:cs="MinionPro-Capt"/>
          <w:color w:val="000000"/>
          <w:sz w:val="18"/>
          <w:szCs w:val="18"/>
        </w:rPr>
        <w:t xml:space="preserve"> </w:t>
      </w:r>
      <w:r>
        <w:rPr>
          <w:rFonts w:ascii="MinionPro-Capt" w:hAnsi="MinionPro-Capt" w:cs="MinionPro-Capt"/>
          <w:color w:val="000000"/>
          <w:sz w:val="18"/>
          <w:szCs w:val="18"/>
        </w:rPr>
        <w:t>Cancer in the European Prospective Investig</w:t>
      </w:r>
      <w:r>
        <w:rPr>
          <w:rFonts w:ascii="MinionPro-Capt" w:hAnsi="MinionPro-Capt" w:cs="MinionPro-Capt"/>
          <w:color w:val="000000"/>
          <w:sz w:val="18"/>
          <w:szCs w:val="18"/>
        </w:rPr>
        <w:t xml:space="preserve">ation into Cancer and Nutrition </w:t>
      </w:r>
      <w:r>
        <w:rPr>
          <w:rFonts w:ascii="MinionPro-Capt" w:hAnsi="MinionPro-Capt" w:cs="MinionPro-Capt"/>
          <w:color w:val="000000"/>
          <w:sz w:val="18"/>
          <w:szCs w:val="18"/>
        </w:rPr>
        <w:t xml:space="preserve">(EPIC). </w:t>
      </w:r>
      <w:r>
        <w:rPr>
          <w:rFonts w:ascii="MinionPro-Capt" w:hAnsi="MinionPro-Capt" w:cs="MinionPro-Capt"/>
          <w:color w:val="000000"/>
          <w:sz w:val="19"/>
          <w:szCs w:val="19"/>
        </w:rPr>
        <w:t xml:space="preserve">International Journal of Cancer </w:t>
      </w:r>
      <w:r>
        <w:rPr>
          <w:rFonts w:ascii="MinionPro-Capt" w:hAnsi="MinionPro-Capt" w:cs="MinionPro-Capt"/>
          <w:color w:val="000000"/>
          <w:sz w:val="18"/>
          <w:szCs w:val="18"/>
        </w:rPr>
        <w:t xml:space="preserve">, 107, 629-634. </w:t>
      </w:r>
      <w:r>
        <w:rPr>
          <w:rFonts w:ascii="MinionPro-Capt" w:hAnsi="MinionPro-Capt" w:cs="MinionPro-Capt"/>
          <w:color w:val="0000FF"/>
          <w:sz w:val="18"/>
          <w:szCs w:val="18"/>
        </w:rPr>
        <w:t>https://doi.org/10.1002/ijc.11426</w:t>
      </w:r>
    </w:p>
    <w:p w:rsidR="003549BE" w:rsidRPr="003549BE" w:rsidRDefault="003549BE" w:rsidP="003549BE">
      <w:pPr>
        <w:autoSpaceDE w:val="0"/>
        <w:autoSpaceDN w:val="0"/>
        <w:adjustRightInd w:val="0"/>
        <w:spacing w:after="0" w:line="240" w:lineRule="auto"/>
        <w:rPr>
          <w:rFonts w:ascii="MinionPro-Capt" w:hAnsi="MinionPro-Capt" w:cs="MinionPro-Capt"/>
          <w:color w:val="000000"/>
          <w:sz w:val="18"/>
          <w:szCs w:val="18"/>
        </w:rPr>
      </w:pPr>
      <w:r>
        <w:rPr>
          <w:rFonts w:ascii="MinionPro-Capt" w:hAnsi="MinionPro-Capt" w:cs="MinionPro-Capt"/>
          <w:color w:val="000000"/>
          <w:sz w:val="18"/>
          <w:szCs w:val="18"/>
        </w:rPr>
        <w:t xml:space="preserve">[14] Barstad, B., Sorensen, T., Tjonneland, A., </w:t>
      </w:r>
      <w:r>
        <w:rPr>
          <w:rFonts w:ascii="MinionPro-Capt" w:hAnsi="MinionPro-Capt" w:cs="MinionPro-Capt"/>
          <w:color w:val="000000"/>
          <w:sz w:val="19"/>
          <w:szCs w:val="19"/>
        </w:rPr>
        <w:t xml:space="preserve">et al </w:t>
      </w:r>
      <w:r>
        <w:rPr>
          <w:rFonts w:ascii="MinionPro-Capt" w:hAnsi="MinionPro-Capt" w:cs="MinionPro-Capt"/>
          <w:color w:val="000000"/>
          <w:sz w:val="18"/>
          <w:szCs w:val="18"/>
        </w:rPr>
        <w:t>. (2005) I</w:t>
      </w:r>
      <w:r>
        <w:rPr>
          <w:rFonts w:ascii="MinionPro-Capt" w:hAnsi="MinionPro-Capt" w:cs="MinionPro-Capt"/>
          <w:color w:val="000000"/>
          <w:sz w:val="18"/>
          <w:szCs w:val="18"/>
        </w:rPr>
        <w:t xml:space="preserve">ntake of Wine, Beer and Spirits and Risk of Gastric Cancer. </w:t>
      </w:r>
      <w:r>
        <w:rPr>
          <w:rFonts w:ascii="MinionPro-Capt" w:hAnsi="MinionPro-Capt" w:cs="MinionPro-Capt"/>
          <w:color w:val="000000"/>
          <w:sz w:val="19"/>
          <w:szCs w:val="19"/>
        </w:rPr>
        <w:t>European Journal of Cancer Prevention</w:t>
      </w:r>
      <w:r>
        <w:rPr>
          <w:rFonts w:ascii="MinionPro-Capt" w:hAnsi="MinionPro-Capt" w:cs="MinionPro-Capt"/>
          <w:color w:val="000000"/>
          <w:sz w:val="18"/>
          <w:szCs w:val="18"/>
        </w:rPr>
        <w:t xml:space="preserve">, 14, 239. </w:t>
      </w:r>
      <w:r>
        <w:rPr>
          <w:rFonts w:ascii="MinionPro-Capt" w:hAnsi="MinionPro-Capt" w:cs="MinionPro-Capt"/>
          <w:color w:val="0000FF"/>
          <w:sz w:val="18"/>
          <w:szCs w:val="18"/>
        </w:rPr>
        <w:t>https://doi.org/10.1097/00008469-200506000-00007</w:t>
      </w:r>
    </w:p>
    <w:p w:rsidR="003549BE" w:rsidRPr="003549BE" w:rsidRDefault="003549BE" w:rsidP="003549BE">
      <w:pPr>
        <w:autoSpaceDE w:val="0"/>
        <w:autoSpaceDN w:val="0"/>
        <w:adjustRightInd w:val="0"/>
        <w:spacing w:after="0" w:line="240" w:lineRule="auto"/>
        <w:rPr>
          <w:rFonts w:ascii="MinionPro-Capt" w:hAnsi="MinionPro-Capt" w:cs="MinionPro-Capt"/>
          <w:color w:val="000000"/>
          <w:sz w:val="18"/>
          <w:szCs w:val="18"/>
        </w:rPr>
      </w:pPr>
      <w:r>
        <w:rPr>
          <w:rFonts w:ascii="MinionPro-Capt" w:hAnsi="MinionPro-Capt" w:cs="MinionPro-Capt"/>
          <w:color w:val="000000"/>
          <w:sz w:val="18"/>
          <w:szCs w:val="18"/>
        </w:rPr>
        <w:t xml:space="preserve">[15] Tramacere, I., Negri, E., Pelucchi, </w:t>
      </w:r>
      <w:r>
        <w:rPr>
          <w:rFonts w:ascii="MinionPro-Capt" w:hAnsi="MinionPro-Capt" w:cs="MinionPro-Capt"/>
          <w:color w:val="000000"/>
          <w:sz w:val="19"/>
          <w:szCs w:val="19"/>
        </w:rPr>
        <w:t>et al</w:t>
      </w:r>
      <w:r>
        <w:rPr>
          <w:rFonts w:ascii="MinionPro-Capt" w:hAnsi="MinionPro-Capt" w:cs="MinionPro-Capt"/>
          <w:color w:val="000000"/>
          <w:sz w:val="18"/>
          <w:szCs w:val="18"/>
        </w:rPr>
        <w:t>. (2012) Une m</w:t>
      </w:r>
      <w:r>
        <w:rPr>
          <w:rFonts w:ascii="MinionPro-Capt" w:hAnsi="MinionPro-Capt" w:cs="MinionPro-Capt"/>
          <w:color w:val="000000"/>
          <w:sz w:val="18"/>
          <w:szCs w:val="18"/>
        </w:rPr>
        <w:t xml:space="preserve">éta-analyse sur la consommation </w:t>
      </w:r>
      <w:r>
        <w:rPr>
          <w:rFonts w:ascii="MinionPro-Capt" w:hAnsi="MinionPro-Capt" w:cs="MinionPro-Capt"/>
          <w:color w:val="000000"/>
          <w:sz w:val="18"/>
          <w:szCs w:val="18"/>
        </w:rPr>
        <w:t xml:space="preserve">d’alcool et le risque de cancer gastrique. </w:t>
      </w:r>
      <w:r>
        <w:rPr>
          <w:rFonts w:ascii="MinionPro-Capt" w:hAnsi="MinionPro-Capt" w:cs="MinionPro-Capt"/>
          <w:color w:val="000000"/>
          <w:sz w:val="19"/>
          <w:szCs w:val="19"/>
        </w:rPr>
        <w:t>Annals of Oncology</w:t>
      </w:r>
      <w:r>
        <w:rPr>
          <w:rFonts w:ascii="MinionPro-Capt" w:hAnsi="MinionPro-Capt" w:cs="MinionPro-Capt"/>
          <w:color w:val="000000"/>
          <w:sz w:val="18"/>
          <w:szCs w:val="18"/>
        </w:rPr>
        <w:t>, 23, 28.</w:t>
      </w:r>
      <w:r>
        <w:rPr>
          <w:rFonts w:ascii="MinionPro-Capt" w:hAnsi="MinionPro-Capt" w:cs="MinionPro-Capt"/>
          <w:color w:val="000000"/>
          <w:sz w:val="18"/>
          <w:szCs w:val="18"/>
        </w:rPr>
        <w:t xml:space="preserve"> </w:t>
      </w:r>
      <w:hyperlink r:id="rId5" w:history="1">
        <w:r w:rsidRPr="00AE7AFD">
          <w:rPr>
            <w:rStyle w:val="Lienhypertexte"/>
            <w:rFonts w:ascii="MinionPro-Capt" w:hAnsi="MinionPro-Capt" w:cs="MinionPro-Capt"/>
            <w:sz w:val="18"/>
            <w:szCs w:val="18"/>
          </w:rPr>
          <w:t>https://doi.org/10.1093/annonc/mdr135</w:t>
        </w:r>
      </w:hyperlink>
    </w:p>
    <w:p w:rsidR="003549BE" w:rsidRPr="003549BE" w:rsidRDefault="003549BE" w:rsidP="003549BE">
      <w:pPr>
        <w:autoSpaceDE w:val="0"/>
        <w:autoSpaceDN w:val="0"/>
        <w:adjustRightInd w:val="0"/>
        <w:spacing w:after="0" w:line="240" w:lineRule="auto"/>
        <w:rPr>
          <w:rFonts w:ascii="MinionPro-Capt" w:hAnsi="MinionPro-Capt" w:cs="MinionPro-Capt"/>
          <w:color w:val="0000FF"/>
          <w:sz w:val="18"/>
          <w:szCs w:val="18"/>
        </w:rPr>
      </w:pPr>
      <w:r>
        <w:rPr>
          <w:rFonts w:ascii="MinionPro-Capt" w:hAnsi="MinionPro-Capt" w:cs="MinionPro-Capt"/>
          <w:color w:val="000000"/>
          <w:sz w:val="18"/>
          <w:szCs w:val="18"/>
        </w:rPr>
        <w:t>[16] (1994) Groupe de travail du CIRC sur l’évaluation des risques cancérogènes pour</w:t>
      </w:r>
      <w:r>
        <w:rPr>
          <w:rFonts w:ascii="MinionPro-Capt" w:hAnsi="MinionPro-Capt" w:cs="MinionPro-Capt"/>
          <w:color w:val="0000FF"/>
          <w:sz w:val="18"/>
          <w:szCs w:val="18"/>
        </w:rPr>
        <w:t xml:space="preserve"> </w:t>
      </w:r>
      <w:r>
        <w:rPr>
          <w:rFonts w:ascii="MinionPro-Capt" w:hAnsi="MinionPro-Capt" w:cs="MinionPro-Capt"/>
          <w:color w:val="000000"/>
          <w:sz w:val="18"/>
          <w:szCs w:val="18"/>
        </w:rPr>
        <w:t xml:space="preserve">l’homme, les schistosomes, les douvements hépatiques et </w:t>
      </w:r>
      <w:r>
        <w:rPr>
          <w:rFonts w:ascii="MinionPro-Capt" w:hAnsi="MinionPro-Capt" w:cs="MinionPro-Capt"/>
          <w:color w:val="000000"/>
          <w:sz w:val="19"/>
          <w:szCs w:val="19"/>
        </w:rPr>
        <w:t>Helicobacter pylori</w:t>
      </w:r>
      <w:r>
        <w:rPr>
          <w:rFonts w:ascii="MinionPro-Capt" w:hAnsi="MinionPro-Capt" w:cs="MinionPro-Capt"/>
          <w:color w:val="000000"/>
          <w:sz w:val="18"/>
          <w:szCs w:val="18"/>
        </w:rPr>
        <w:t>. Vol. 61</w:t>
      </w:r>
      <w:r>
        <w:rPr>
          <w:rFonts w:ascii="MinionPro-Capt" w:hAnsi="MinionPro-Capt" w:cs="MinionPro-Capt"/>
          <w:color w:val="0000FF"/>
          <w:sz w:val="18"/>
          <w:szCs w:val="18"/>
        </w:rPr>
        <w:t xml:space="preserve"> </w:t>
      </w:r>
      <w:r>
        <w:rPr>
          <w:rFonts w:ascii="MinionPro-Capt" w:hAnsi="MinionPro-Capt" w:cs="MinionPro-Capt"/>
          <w:color w:val="000000"/>
          <w:sz w:val="18"/>
          <w:szCs w:val="18"/>
        </w:rPr>
        <w:t>des monographies du CIRC sur l’évaluation des risques cancérogènes pour l’homme.</w:t>
      </w:r>
      <w:r>
        <w:rPr>
          <w:rFonts w:ascii="MinionPro-Capt" w:hAnsi="MinionPro-Capt" w:cs="MinionPro-Capt"/>
          <w:color w:val="0000FF"/>
          <w:sz w:val="18"/>
          <w:szCs w:val="18"/>
        </w:rPr>
        <w:t xml:space="preserve"> </w:t>
      </w:r>
      <w:r>
        <w:rPr>
          <w:rFonts w:ascii="MinionPro-Capt" w:hAnsi="MinionPro-Capt" w:cs="MinionPro-Capt"/>
          <w:color w:val="000000"/>
          <w:sz w:val="18"/>
          <w:szCs w:val="18"/>
        </w:rPr>
        <w:t>Centre international de recherche sur le cancer, Lyon, Vol. 61.</w:t>
      </w:r>
    </w:p>
    <w:p w:rsidR="003549BE" w:rsidRPr="003549BE" w:rsidRDefault="003549BE" w:rsidP="003549BE">
      <w:pPr>
        <w:autoSpaceDE w:val="0"/>
        <w:autoSpaceDN w:val="0"/>
        <w:adjustRightInd w:val="0"/>
        <w:spacing w:after="0" w:line="240" w:lineRule="auto"/>
        <w:rPr>
          <w:rFonts w:ascii="MinionPro-Capt" w:hAnsi="MinionPro-Capt" w:cs="MinionPro-Capt"/>
          <w:color w:val="000000"/>
          <w:sz w:val="18"/>
          <w:szCs w:val="18"/>
        </w:rPr>
      </w:pPr>
      <w:r>
        <w:rPr>
          <w:rFonts w:ascii="MinionPro-Capt" w:hAnsi="MinionPro-Capt" w:cs="MinionPro-Capt"/>
          <w:color w:val="000000"/>
          <w:sz w:val="18"/>
          <w:szCs w:val="18"/>
        </w:rPr>
        <w:t xml:space="preserve">[17] Karila-Cohen, P., Petit, T., Aparicio, T., </w:t>
      </w:r>
      <w:r>
        <w:rPr>
          <w:rFonts w:ascii="MinionPro-Capt" w:hAnsi="MinionPro-Capt" w:cs="MinionPro-Capt"/>
          <w:color w:val="000000"/>
          <w:sz w:val="19"/>
          <w:szCs w:val="19"/>
        </w:rPr>
        <w:t>et al</w:t>
      </w:r>
      <w:r>
        <w:rPr>
          <w:rFonts w:ascii="MinionPro-Capt" w:hAnsi="MinionPro-Capt" w:cs="MinionPro-Capt"/>
          <w:color w:val="000000"/>
          <w:sz w:val="18"/>
          <w:szCs w:val="18"/>
        </w:rPr>
        <w:t xml:space="preserve">. </w:t>
      </w:r>
      <w:r>
        <w:rPr>
          <w:rFonts w:ascii="MinionPro-Capt" w:hAnsi="MinionPro-Capt" w:cs="MinionPro-Capt"/>
          <w:color w:val="000000"/>
          <w:sz w:val="18"/>
          <w:szCs w:val="18"/>
        </w:rPr>
        <w:t xml:space="preserve">(2004) Adénocarcinome gastrique </w:t>
      </w:r>
      <w:r>
        <w:rPr>
          <w:rFonts w:ascii="MinionPro-Capt" w:hAnsi="MinionPro-Capt" w:cs="MinionPro-Capt"/>
          <w:color w:val="000000"/>
          <w:sz w:val="18"/>
          <w:szCs w:val="18"/>
        </w:rPr>
        <w:t xml:space="preserve">Éditions Françaises de Radiologie, Paris, 2004. </w:t>
      </w:r>
      <w:r>
        <w:rPr>
          <w:rFonts w:ascii="MinionPro-Capt" w:hAnsi="MinionPro-Capt" w:cs="MinionPro-Capt"/>
          <w:color w:val="000000"/>
          <w:sz w:val="19"/>
          <w:szCs w:val="19"/>
        </w:rPr>
        <w:t>Journal de Radiologie</w:t>
      </w:r>
      <w:r>
        <w:rPr>
          <w:rFonts w:ascii="MinionPro-Capt" w:hAnsi="MinionPro-Capt" w:cs="MinionPro-Capt"/>
          <w:color w:val="000000"/>
          <w:sz w:val="18"/>
          <w:szCs w:val="18"/>
        </w:rPr>
        <w:t xml:space="preserve">, 85, 1695-1698. </w:t>
      </w:r>
      <w:r>
        <w:rPr>
          <w:rFonts w:ascii="MinionPro-Capt" w:hAnsi="MinionPro-Capt" w:cs="MinionPro-Capt"/>
          <w:color w:val="0000FF"/>
          <w:sz w:val="18"/>
          <w:szCs w:val="18"/>
        </w:rPr>
        <w:t>https://doi.org/10.1016/S0221-0363(04)97733-5</w:t>
      </w:r>
    </w:p>
    <w:p w:rsidR="003549BE" w:rsidRPr="003549BE" w:rsidRDefault="003549BE" w:rsidP="003549BE">
      <w:pPr>
        <w:autoSpaceDE w:val="0"/>
        <w:autoSpaceDN w:val="0"/>
        <w:adjustRightInd w:val="0"/>
        <w:spacing w:after="0" w:line="240" w:lineRule="auto"/>
        <w:rPr>
          <w:rFonts w:ascii="MinionPro-Capt" w:hAnsi="MinionPro-Capt" w:cs="MinionPro-Capt"/>
          <w:color w:val="000000"/>
          <w:sz w:val="18"/>
          <w:szCs w:val="18"/>
        </w:rPr>
      </w:pPr>
      <w:r>
        <w:rPr>
          <w:rFonts w:ascii="MinionPro-Capt" w:hAnsi="MinionPro-Capt" w:cs="MinionPro-Capt"/>
          <w:color w:val="000000"/>
          <w:sz w:val="18"/>
          <w:szCs w:val="18"/>
        </w:rPr>
        <w:t xml:space="preserve">[18] Aparicot, T., Yacoub, M., Karila-Cohen, P., </w:t>
      </w:r>
      <w:r>
        <w:rPr>
          <w:rFonts w:ascii="MinionPro-Capt" w:hAnsi="MinionPro-Capt" w:cs="MinionPro-Capt"/>
          <w:color w:val="000000"/>
          <w:sz w:val="19"/>
          <w:szCs w:val="19"/>
        </w:rPr>
        <w:t xml:space="preserve">et al </w:t>
      </w:r>
      <w:r>
        <w:rPr>
          <w:rFonts w:ascii="MinionPro-Capt" w:hAnsi="MinionPro-Capt" w:cs="MinionPro-Capt"/>
          <w:color w:val="000000"/>
          <w:sz w:val="18"/>
          <w:szCs w:val="18"/>
        </w:rPr>
        <w:t>. (2004) G</w:t>
      </w:r>
      <w:r>
        <w:rPr>
          <w:rFonts w:ascii="MinionPro-Capt" w:hAnsi="MinionPro-Capt" w:cs="MinionPro-Capt"/>
          <w:color w:val="000000"/>
          <w:sz w:val="18"/>
          <w:szCs w:val="18"/>
        </w:rPr>
        <w:t xml:space="preserve">astric Carcinoma: Epidemiology, </w:t>
      </w:r>
      <w:r>
        <w:rPr>
          <w:rFonts w:ascii="MinionPro-Capt" w:hAnsi="MinionPro-Capt" w:cs="MinionPro-Capt"/>
          <w:color w:val="000000"/>
          <w:sz w:val="18"/>
          <w:szCs w:val="18"/>
        </w:rPr>
        <w:t xml:space="preserve">Diagnosis and Treatment. </w:t>
      </w:r>
      <w:r>
        <w:rPr>
          <w:rFonts w:ascii="MinionPro-Capt" w:hAnsi="MinionPro-Capt" w:cs="MinionPro-Capt"/>
          <w:color w:val="000000"/>
          <w:sz w:val="19"/>
          <w:szCs w:val="19"/>
        </w:rPr>
        <w:t>EMC</w:t>
      </w:r>
      <w:r>
        <w:rPr>
          <w:rFonts w:ascii="MinionPro-Capt" w:hAnsi="MinionPro-Capt" w:cs="MinionPro-Capt"/>
          <w:color w:val="000000"/>
          <w:sz w:val="18"/>
          <w:szCs w:val="18"/>
        </w:rPr>
        <w:t>-</w:t>
      </w:r>
      <w:r>
        <w:rPr>
          <w:rFonts w:ascii="MinionPro-Capt" w:hAnsi="MinionPro-Capt" w:cs="MinionPro-Capt"/>
          <w:color w:val="000000"/>
          <w:sz w:val="19"/>
          <w:szCs w:val="19"/>
        </w:rPr>
        <w:t xml:space="preserve">Chirurgie </w:t>
      </w:r>
      <w:r>
        <w:rPr>
          <w:rFonts w:ascii="MinionPro-Capt" w:hAnsi="MinionPro-Capt" w:cs="MinionPro-Capt"/>
          <w:color w:val="000000"/>
          <w:sz w:val="18"/>
          <w:szCs w:val="18"/>
        </w:rPr>
        <w:t xml:space="preserve">, 1, 47-66. </w:t>
      </w:r>
      <w:r>
        <w:rPr>
          <w:rFonts w:ascii="MinionPro-Capt" w:hAnsi="MinionPro-Capt" w:cs="MinionPro-Capt"/>
          <w:color w:val="0000FF"/>
          <w:sz w:val="18"/>
          <w:szCs w:val="18"/>
        </w:rPr>
        <w:t>https://doi.org/10.1016/j.emcchi.2003.10.003</w:t>
      </w:r>
    </w:p>
    <w:p w:rsidR="003549BE" w:rsidRDefault="003549BE" w:rsidP="003549BE">
      <w:pPr>
        <w:autoSpaceDE w:val="0"/>
        <w:autoSpaceDN w:val="0"/>
        <w:adjustRightInd w:val="0"/>
        <w:spacing w:after="0" w:line="240" w:lineRule="auto"/>
        <w:rPr>
          <w:rFonts w:ascii="MinionPro-Capt" w:hAnsi="MinionPro-Capt" w:cs="MinionPro-Capt"/>
          <w:color w:val="000000"/>
          <w:sz w:val="18"/>
          <w:szCs w:val="18"/>
        </w:rPr>
      </w:pPr>
      <w:r>
        <w:rPr>
          <w:rFonts w:ascii="MinionPro-Capt" w:hAnsi="MinionPro-Capt" w:cs="MinionPro-Capt"/>
          <w:color w:val="000000"/>
          <w:sz w:val="18"/>
          <w:szCs w:val="18"/>
        </w:rPr>
        <w:t>[19] Takemoto, Y. (2003) Caractéristiques clinicopa</w:t>
      </w:r>
      <w:r>
        <w:rPr>
          <w:rFonts w:ascii="MinionPro-Capt" w:hAnsi="MinionPro-Capt" w:cs="MinionPro-Capt"/>
          <w:color w:val="000000"/>
          <w:sz w:val="18"/>
          <w:szCs w:val="18"/>
        </w:rPr>
        <w:t xml:space="preserve">thologiques du cancer gastrique </w:t>
      </w:r>
      <w:r>
        <w:rPr>
          <w:rFonts w:ascii="MinionPro-Capt" w:hAnsi="MinionPro-Capt" w:cs="MinionPro-Capt"/>
          <w:color w:val="000000"/>
          <w:sz w:val="18"/>
          <w:szCs w:val="18"/>
        </w:rPr>
        <w:t xml:space="preserve">précoce: Résultats de 100 cas d’un hôpital général rural. </w:t>
      </w:r>
      <w:r>
        <w:rPr>
          <w:rFonts w:ascii="MinionPro-Capt" w:hAnsi="MinionPro-Capt" w:cs="MinionPro-Capt"/>
          <w:color w:val="000000"/>
          <w:sz w:val="19"/>
          <w:szCs w:val="19"/>
        </w:rPr>
        <w:t>The European Journal of</w:t>
      </w:r>
      <w:r>
        <w:rPr>
          <w:rFonts w:ascii="MinionPro-Capt" w:hAnsi="MinionPro-Capt" w:cs="MinionPro-Capt"/>
          <w:color w:val="000000"/>
          <w:sz w:val="18"/>
          <w:szCs w:val="18"/>
        </w:rPr>
        <w:t xml:space="preserve"> </w:t>
      </w:r>
      <w:r>
        <w:rPr>
          <w:rFonts w:ascii="MinionPro-Capt" w:hAnsi="MinionPro-Capt" w:cs="MinionPro-Capt"/>
          <w:color w:val="000000"/>
          <w:sz w:val="19"/>
          <w:szCs w:val="19"/>
        </w:rPr>
        <w:t xml:space="preserve">Surgery </w:t>
      </w:r>
      <w:r>
        <w:rPr>
          <w:rFonts w:ascii="MinionPro-Capt" w:hAnsi="MinionPro-Capt" w:cs="MinionPro-Capt"/>
          <w:color w:val="000000"/>
          <w:sz w:val="18"/>
          <w:szCs w:val="18"/>
        </w:rPr>
        <w:t>, 165, 319-325.</w:t>
      </w:r>
    </w:p>
    <w:p w:rsidR="003549BE" w:rsidRPr="003549BE" w:rsidRDefault="003549BE" w:rsidP="003549BE">
      <w:pPr>
        <w:autoSpaceDE w:val="0"/>
        <w:autoSpaceDN w:val="0"/>
        <w:adjustRightInd w:val="0"/>
        <w:spacing w:after="0" w:line="240" w:lineRule="auto"/>
        <w:rPr>
          <w:rFonts w:ascii="MinionPro-Capt" w:hAnsi="MinionPro-Capt" w:cs="MinionPro-Capt"/>
          <w:color w:val="000000"/>
          <w:sz w:val="18"/>
          <w:szCs w:val="18"/>
        </w:rPr>
      </w:pPr>
      <w:r>
        <w:rPr>
          <w:rFonts w:ascii="MinionPro-Capt" w:hAnsi="MinionPro-Capt" w:cs="MinionPro-Capt"/>
          <w:color w:val="000000"/>
          <w:sz w:val="18"/>
          <w:szCs w:val="18"/>
        </w:rPr>
        <w:t xml:space="preserve">[20] Xiong, B., Ma, L., Cheng, Y., </w:t>
      </w:r>
      <w:r>
        <w:rPr>
          <w:rFonts w:ascii="MinionPro-Capt" w:hAnsi="MinionPro-Capt" w:cs="MinionPro-Capt"/>
          <w:color w:val="000000"/>
          <w:sz w:val="19"/>
          <w:szCs w:val="19"/>
        </w:rPr>
        <w:t xml:space="preserve">et al </w:t>
      </w:r>
      <w:r>
        <w:rPr>
          <w:rFonts w:ascii="MinionPro-Capt" w:hAnsi="MinionPro-Capt" w:cs="MinionPro-Capt"/>
          <w:color w:val="000000"/>
          <w:sz w:val="18"/>
          <w:szCs w:val="18"/>
        </w:rPr>
        <w:t>. (2014) Clinic</w:t>
      </w:r>
      <w:r>
        <w:rPr>
          <w:rFonts w:ascii="MinionPro-Capt" w:hAnsi="MinionPro-Capt" w:cs="MinionPro-Capt"/>
          <w:color w:val="000000"/>
          <w:sz w:val="18"/>
          <w:szCs w:val="18"/>
        </w:rPr>
        <w:t xml:space="preserve">al Effectiveness of Neoadjuvant </w:t>
      </w:r>
      <w:r>
        <w:rPr>
          <w:rFonts w:ascii="MinionPro-Capt" w:hAnsi="MinionPro-Capt" w:cs="MinionPro-Capt"/>
          <w:color w:val="000000"/>
          <w:sz w:val="18"/>
          <w:szCs w:val="18"/>
        </w:rPr>
        <w:t>Chemotherapy in Advanced Gastric Cancer: An Upda</w:t>
      </w:r>
      <w:r>
        <w:rPr>
          <w:rFonts w:ascii="MinionPro-Capt" w:hAnsi="MinionPro-Capt" w:cs="MinionPro-Capt"/>
          <w:color w:val="000000"/>
          <w:sz w:val="18"/>
          <w:szCs w:val="18"/>
        </w:rPr>
        <w:t xml:space="preserve">ted Meta-Analysis of Randomized </w:t>
      </w:r>
      <w:r>
        <w:rPr>
          <w:rFonts w:ascii="MinionPro-Capt" w:hAnsi="MinionPro-Capt" w:cs="MinionPro-Capt"/>
          <w:color w:val="000000"/>
          <w:sz w:val="18"/>
          <w:szCs w:val="18"/>
        </w:rPr>
        <w:t xml:space="preserve">Controlled Trials. </w:t>
      </w:r>
      <w:r>
        <w:rPr>
          <w:rFonts w:ascii="MinionPro-Capt" w:hAnsi="MinionPro-Capt" w:cs="MinionPro-Capt"/>
          <w:color w:val="000000"/>
          <w:sz w:val="19"/>
          <w:szCs w:val="19"/>
        </w:rPr>
        <w:t>European Journal of Surgical Oncology</w:t>
      </w:r>
      <w:r>
        <w:rPr>
          <w:rFonts w:ascii="MinionPro-Capt" w:hAnsi="MinionPro-Capt" w:cs="MinionPro-Capt"/>
          <w:color w:val="000000"/>
          <w:sz w:val="18"/>
          <w:szCs w:val="18"/>
        </w:rPr>
        <w:t xml:space="preserve">, 40, 1321-1330. </w:t>
      </w:r>
      <w:r>
        <w:rPr>
          <w:rFonts w:ascii="MinionPro-Capt" w:hAnsi="MinionPro-Capt" w:cs="MinionPro-Capt"/>
          <w:color w:val="0000FF"/>
          <w:sz w:val="18"/>
          <w:szCs w:val="18"/>
        </w:rPr>
        <w:t>https://doi.org/10.1016/j.ejso.2014.01.006</w:t>
      </w:r>
    </w:p>
    <w:p w:rsidR="003549BE" w:rsidRPr="003549BE" w:rsidRDefault="003549BE" w:rsidP="003549BE">
      <w:pPr>
        <w:autoSpaceDE w:val="0"/>
        <w:autoSpaceDN w:val="0"/>
        <w:adjustRightInd w:val="0"/>
        <w:spacing w:after="0" w:line="240" w:lineRule="auto"/>
        <w:rPr>
          <w:rFonts w:ascii="MinionPro-Capt" w:hAnsi="MinionPro-Capt" w:cs="MinionPro-Capt"/>
          <w:color w:val="000000"/>
          <w:sz w:val="18"/>
          <w:szCs w:val="18"/>
        </w:rPr>
      </w:pPr>
      <w:r>
        <w:rPr>
          <w:rFonts w:ascii="MinionPro-Capt" w:hAnsi="MinionPro-Capt" w:cs="MinionPro-Capt"/>
          <w:color w:val="000000"/>
          <w:sz w:val="18"/>
          <w:szCs w:val="18"/>
        </w:rPr>
        <w:t>[21] Hermans, J., Bonenkamp, J.J. and Boon, M.C. (1993</w:t>
      </w:r>
      <w:r>
        <w:rPr>
          <w:rFonts w:ascii="MinionPro-Capt" w:hAnsi="MinionPro-Capt" w:cs="MinionPro-Capt"/>
          <w:color w:val="000000"/>
          <w:sz w:val="18"/>
          <w:szCs w:val="18"/>
        </w:rPr>
        <w:t xml:space="preserve">) Traitement adjuvant après une </w:t>
      </w:r>
      <w:r>
        <w:rPr>
          <w:rFonts w:ascii="MinionPro-Capt" w:hAnsi="MinionPro-Capt" w:cs="MinionPro-Capt"/>
          <w:color w:val="000000"/>
          <w:sz w:val="18"/>
          <w:szCs w:val="18"/>
        </w:rPr>
        <w:t xml:space="preserve">résection curative pour le cancer gastrique: Méta-analyse d’essais randomisés. </w:t>
      </w:r>
      <w:r>
        <w:rPr>
          <w:rFonts w:ascii="MinionPro-Capt" w:hAnsi="MinionPro-Capt" w:cs="MinionPro-Capt"/>
          <w:color w:val="000000"/>
          <w:sz w:val="19"/>
          <w:szCs w:val="19"/>
        </w:rPr>
        <w:t>Journal</w:t>
      </w:r>
      <w:r>
        <w:rPr>
          <w:rFonts w:ascii="MinionPro-Capt" w:hAnsi="MinionPro-Capt" w:cs="MinionPro-Capt"/>
          <w:color w:val="000000"/>
          <w:sz w:val="18"/>
          <w:szCs w:val="18"/>
        </w:rPr>
        <w:t xml:space="preserve"> </w:t>
      </w:r>
      <w:r>
        <w:rPr>
          <w:rFonts w:ascii="MinionPro-Capt" w:hAnsi="MinionPro-Capt" w:cs="MinionPro-Capt"/>
          <w:color w:val="000000"/>
          <w:sz w:val="19"/>
          <w:szCs w:val="19"/>
        </w:rPr>
        <w:t xml:space="preserve">of Clinical Oncology </w:t>
      </w:r>
      <w:r>
        <w:rPr>
          <w:rFonts w:ascii="MinionPro-Capt" w:hAnsi="MinionPro-Capt" w:cs="MinionPro-Capt"/>
          <w:color w:val="000000"/>
          <w:sz w:val="18"/>
          <w:szCs w:val="18"/>
        </w:rPr>
        <w:t xml:space="preserve">, 11, 1441-1447. </w:t>
      </w:r>
      <w:r>
        <w:rPr>
          <w:rFonts w:ascii="MinionPro-Capt" w:hAnsi="MinionPro-Capt" w:cs="MinionPro-Capt"/>
          <w:color w:val="0000FF"/>
          <w:sz w:val="18"/>
          <w:szCs w:val="18"/>
        </w:rPr>
        <w:t>https://doi.org/10.1200/JCO.1993.11.8.1441</w:t>
      </w:r>
    </w:p>
    <w:p w:rsidR="003549BE" w:rsidRPr="003549BE" w:rsidRDefault="003549BE" w:rsidP="003549BE">
      <w:pPr>
        <w:autoSpaceDE w:val="0"/>
        <w:autoSpaceDN w:val="0"/>
        <w:adjustRightInd w:val="0"/>
        <w:spacing w:after="0" w:line="240" w:lineRule="auto"/>
        <w:rPr>
          <w:rFonts w:ascii="MinionPro-Capt" w:hAnsi="MinionPro-Capt" w:cs="MinionPro-Capt"/>
          <w:color w:val="000000"/>
          <w:sz w:val="18"/>
          <w:szCs w:val="18"/>
        </w:rPr>
      </w:pPr>
      <w:r>
        <w:rPr>
          <w:rFonts w:ascii="MinionPro-Capt" w:hAnsi="MinionPro-Capt" w:cs="MinionPro-Capt"/>
          <w:color w:val="000000"/>
          <w:sz w:val="18"/>
          <w:szCs w:val="18"/>
        </w:rPr>
        <w:t xml:space="preserve">[22] Paoletti, X., Oba, K., Burzykowsky, T., </w:t>
      </w:r>
      <w:r>
        <w:rPr>
          <w:rFonts w:ascii="MinionPro-Capt" w:hAnsi="MinionPro-Capt" w:cs="MinionPro-Capt"/>
          <w:color w:val="000000"/>
          <w:sz w:val="19"/>
          <w:szCs w:val="19"/>
        </w:rPr>
        <w:t>et al</w:t>
      </w:r>
      <w:r>
        <w:rPr>
          <w:rFonts w:ascii="MinionPro-Capt" w:hAnsi="MinionPro-Capt" w:cs="MinionPro-Capt"/>
          <w:color w:val="000000"/>
          <w:sz w:val="18"/>
          <w:szCs w:val="18"/>
        </w:rPr>
        <w:t>. (2010) B</w:t>
      </w:r>
      <w:r>
        <w:rPr>
          <w:rFonts w:ascii="MinionPro-Capt" w:hAnsi="MinionPro-Capt" w:cs="MinionPro-Capt"/>
          <w:color w:val="000000"/>
          <w:sz w:val="18"/>
          <w:szCs w:val="18"/>
        </w:rPr>
        <w:t xml:space="preserve">enefit of Adjuvant Chemotherapy </w:t>
      </w:r>
      <w:r>
        <w:rPr>
          <w:rFonts w:ascii="MinionPro-Capt" w:hAnsi="MinionPro-Capt" w:cs="MinionPro-Capt"/>
          <w:color w:val="000000"/>
          <w:sz w:val="18"/>
          <w:szCs w:val="18"/>
        </w:rPr>
        <w:t xml:space="preserve">for Resectable Gastric Cancer: A Meta-Analysis. </w:t>
      </w:r>
      <w:r>
        <w:rPr>
          <w:rFonts w:ascii="MinionPro-Capt" w:hAnsi="MinionPro-Capt" w:cs="MinionPro-Capt"/>
          <w:color w:val="000000"/>
          <w:sz w:val="19"/>
          <w:szCs w:val="19"/>
        </w:rPr>
        <w:t>JAMA</w:t>
      </w:r>
      <w:r>
        <w:rPr>
          <w:rFonts w:ascii="MinionPro-Capt" w:hAnsi="MinionPro-Capt" w:cs="MinionPro-Capt"/>
          <w:color w:val="000000"/>
          <w:sz w:val="18"/>
          <w:szCs w:val="18"/>
        </w:rPr>
        <w:t xml:space="preserve">, 303, 1729-1737. </w:t>
      </w:r>
      <w:r>
        <w:rPr>
          <w:rFonts w:ascii="MinionPro-Capt" w:hAnsi="MinionPro-Capt" w:cs="MinionPro-Capt"/>
          <w:color w:val="0000FF"/>
          <w:sz w:val="18"/>
          <w:szCs w:val="18"/>
        </w:rPr>
        <w:t>https://doi.org/10.1001/jama.2010.534</w:t>
      </w:r>
    </w:p>
    <w:p w:rsidR="003549BE" w:rsidRPr="003549BE" w:rsidRDefault="003549BE" w:rsidP="003549BE">
      <w:pPr>
        <w:autoSpaceDE w:val="0"/>
        <w:autoSpaceDN w:val="0"/>
        <w:adjustRightInd w:val="0"/>
        <w:spacing w:after="0" w:line="240" w:lineRule="auto"/>
        <w:rPr>
          <w:rFonts w:ascii="MinionPro-Capt" w:hAnsi="MinionPro-Capt" w:cs="MinionPro-Capt"/>
          <w:color w:val="000000"/>
          <w:sz w:val="18"/>
          <w:szCs w:val="18"/>
        </w:rPr>
      </w:pPr>
      <w:r>
        <w:rPr>
          <w:rFonts w:ascii="MinionPro-Capt" w:hAnsi="MinionPro-Capt" w:cs="MinionPro-Capt"/>
          <w:color w:val="000000"/>
          <w:sz w:val="18"/>
          <w:szCs w:val="18"/>
        </w:rPr>
        <w:lastRenderedPageBreak/>
        <w:t>[23] Earle, C.C. and Maroun, J.A. (1999) Adjuvant Chemot</w:t>
      </w:r>
      <w:r>
        <w:rPr>
          <w:rFonts w:ascii="MinionPro-Capt" w:hAnsi="MinionPro-Capt" w:cs="MinionPro-Capt"/>
          <w:color w:val="000000"/>
          <w:sz w:val="18"/>
          <w:szCs w:val="18"/>
        </w:rPr>
        <w:t xml:space="preserve">herapy after Curative Resection </w:t>
      </w:r>
      <w:r>
        <w:rPr>
          <w:rFonts w:ascii="MinionPro-Capt" w:hAnsi="MinionPro-Capt" w:cs="MinionPro-Capt"/>
          <w:color w:val="000000"/>
          <w:sz w:val="18"/>
          <w:szCs w:val="18"/>
        </w:rPr>
        <w:t>for Gastric Cancer in Non-Asian Patients: Revisiting a Meta-Analysis of Randomised</w:t>
      </w:r>
      <w:r>
        <w:rPr>
          <w:rFonts w:ascii="MinionPro-Capt" w:hAnsi="MinionPro-Capt" w:cs="MinionPro-Capt"/>
          <w:color w:val="000000"/>
          <w:sz w:val="18"/>
          <w:szCs w:val="18"/>
        </w:rPr>
        <w:t xml:space="preserve"> </w:t>
      </w:r>
      <w:r>
        <w:rPr>
          <w:rFonts w:ascii="MinionPro-Capt" w:hAnsi="MinionPro-Capt" w:cs="MinionPro-Capt"/>
          <w:color w:val="000000"/>
          <w:sz w:val="18"/>
          <w:szCs w:val="18"/>
        </w:rPr>
        <w:t xml:space="preserve">Trials. </w:t>
      </w:r>
      <w:r>
        <w:rPr>
          <w:rFonts w:ascii="MinionPro-Capt" w:hAnsi="MinionPro-Capt" w:cs="MinionPro-Capt"/>
          <w:color w:val="000000"/>
          <w:sz w:val="19"/>
          <w:szCs w:val="19"/>
        </w:rPr>
        <w:t xml:space="preserve">European Journal of Cancer </w:t>
      </w:r>
      <w:r>
        <w:rPr>
          <w:rFonts w:ascii="MinionPro-Capt" w:hAnsi="MinionPro-Capt" w:cs="MinionPro-Capt"/>
          <w:color w:val="000000"/>
          <w:sz w:val="18"/>
          <w:szCs w:val="18"/>
        </w:rPr>
        <w:t>, 35, 1059-1064.</w:t>
      </w:r>
      <w:r>
        <w:rPr>
          <w:rFonts w:ascii="MinionPro-Capt" w:hAnsi="MinionPro-Capt" w:cs="MinionPro-Capt"/>
          <w:color w:val="000000"/>
          <w:sz w:val="18"/>
          <w:szCs w:val="18"/>
        </w:rPr>
        <w:t xml:space="preserve"> </w:t>
      </w:r>
      <w:r>
        <w:rPr>
          <w:rFonts w:ascii="MinionPro-Capt" w:hAnsi="MinionPro-Capt" w:cs="MinionPro-Capt"/>
          <w:color w:val="0000FF"/>
          <w:sz w:val="18"/>
          <w:szCs w:val="18"/>
        </w:rPr>
        <w:t>https://doi.org/10.1016/S0959-8049(99)00076-3</w:t>
      </w:r>
    </w:p>
    <w:p w:rsidR="003549BE" w:rsidRPr="003549BE" w:rsidRDefault="003549BE" w:rsidP="003549BE">
      <w:pPr>
        <w:autoSpaceDE w:val="0"/>
        <w:autoSpaceDN w:val="0"/>
        <w:adjustRightInd w:val="0"/>
        <w:spacing w:after="0" w:line="240" w:lineRule="auto"/>
        <w:rPr>
          <w:rFonts w:ascii="MinionPro-Capt" w:hAnsi="MinionPro-Capt" w:cs="MinionPro-Capt"/>
          <w:color w:val="000000"/>
          <w:sz w:val="18"/>
          <w:szCs w:val="18"/>
        </w:rPr>
      </w:pPr>
      <w:r>
        <w:rPr>
          <w:rFonts w:ascii="MinionPro-Capt" w:hAnsi="MinionPro-Capt" w:cs="MinionPro-Capt"/>
          <w:color w:val="000000"/>
          <w:sz w:val="18"/>
          <w:szCs w:val="18"/>
        </w:rPr>
        <w:t xml:space="preserve">[24] Cunningham, D., Allum, W., Stenning, S.P., </w:t>
      </w:r>
      <w:r>
        <w:rPr>
          <w:rFonts w:ascii="MinionPro-Capt" w:hAnsi="MinionPro-Capt" w:cs="MinionPro-Capt"/>
          <w:color w:val="000000"/>
          <w:sz w:val="19"/>
          <w:szCs w:val="19"/>
        </w:rPr>
        <w:t xml:space="preserve">et al </w:t>
      </w:r>
      <w:r>
        <w:rPr>
          <w:rFonts w:ascii="MinionPro-Capt" w:hAnsi="MinionPro-Capt" w:cs="MinionPro-Capt"/>
          <w:color w:val="000000"/>
          <w:sz w:val="18"/>
          <w:szCs w:val="18"/>
        </w:rPr>
        <w:t>. (2</w:t>
      </w:r>
      <w:r>
        <w:rPr>
          <w:rFonts w:ascii="MinionPro-Capt" w:hAnsi="MinionPro-Capt" w:cs="MinionPro-Capt"/>
          <w:color w:val="000000"/>
          <w:sz w:val="18"/>
          <w:szCs w:val="18"/>
        </w:rPr>
        <w:t xml:space="preserve">006) Perioperative Chemotherapy </w:t>
      </w:r>
      <w:r>
        <w:rPr>
          <w:rFonts w:ascii="MinionPro-Capt" w:hAnsi="MinionPro-Capt" w:cs="MinionPro-Capt"/>
          <w:color w:val="000000"/>
          <w:sz w:val="18"/>
          <w:szCs w:val="18"/>
        </w:rPr>
        <w:t xml:space="preserve">versus Surgery Alone for Resectable Gastroesophageal Cancer. </w:t>
      </w:r>
      <w:r>
        <w:rPr>
          <w:rFonts w:ascii="MinionPro-Capt" w:hAnsi="MinionPro-Capt" w:cs="MinionPro-Capt"/>
          <w:color w:val="000000"/>
          <w:sz w:val="19"/>
          <w:szCs w:val="19"/>
        </w:rPr>
        <w:t>The New</w:t>
      </w:r>
      <w:r>
        <w:rPr>
          <w:rFonts w:ascii="MinionPro-Capt" w:hAnsi="MinionPro-Capt" w:cs="MinionPro-Capt"/>
          <w:color w:val="000000"/>
          <w:sz w:val="18"/>
          <w:szCs w:val="18"/>
        </w:rPr>
        <w:t xml:space="preserve"> </w:t>
      </w:r>
      <w:r>
        <w:rPr>
          <w:rFonts w:ascii="MinionPro-Capt" w:hAnsi="MinionPro-Capt" w:cs="MinionPro-Capt"/>
          <w:color w:val="000000"/>
          <w:sz w:val="19"/>
          <w:szCs w:val="19"/>
        </w:rPr>
        <w:t xml:space="preserve">England Journal of Medicine </w:t>
      </w:r>
      <w:r>
        <w:rPr>
          <w:rFonts w:ascii="MinionPro-Capt" w:hAnsi="MinionPro-Capt" w:cs="MinionPro-Capt"/>
          <w:color w:val="000000"/>
          <w:sz w:val="18"/>
          <w:szCs w:val="18"/>
        </w:rPr>
        <w:t xml:space="preserve">, 355, 11. </w:t>
      </w:r>
      <w:r>
        <w:rPr>
          <w:rFonts w:ascii="MinionPro-Capt" w:hAnsi="MinionPro-Capt" w:cs="MinionPro-Capt"/>
          <w:color w:val="0000FF"/>
          <w:sz w:val="18"/>
          <w:szCs w:val="18"/>
        </w:rPr>
        <w:t>https://doi.org/10.1056/NEJMoa055531</w:t>
      </w:r>
    </w:p>
    <w:p w:rsidR="003549BE" w:rsidRPr="003549BE" w:rsidRDefault="003549BE" w:rsidP="003549BE">
      <w:pPr>
        <w:autoSpaceDE w:val="0"/>
        <w:autoSpaceDN w:val="0"/>
        <w:adjustRightInd w:val="0"/>
        <w:spacing w:after="0" w:line="240" w:lineRule="auto"/>
        <w:rPr>
          <w:rFonts w:ascii="MinionPro-Capt" w:hAnsi="MinionPro-Capt" w:cs="MinionPro-Capt"/>
          <w:color w:val="000000"/>
          <w:sz w:val="18"/>
          <w:szCs w:val="18"/>
        </w:rPr>
      </w:pPr>
      <w:r>
        <w:rPr>
          <w:rFonts w:ascii="MinionPro-Capt" w:hAnsi="MinionPro-Capt" w:cs="MinionPro-Capt"/>
          <w:color w:val="000000"/>
          <w:sz w:val="18"/>
          <w:szCs w:val="18"/>
        </w:rPr>
        <w:t>[25] Mornex, F. and Chauffert, B. (1998) Chimiorad</w:t>
      </w:r>
      <w:r>
        <w:rPr>
          <w:rFonts w:ascii="MinionPro-Capt" w:hAnsi="MinionPro-Capt" w:cs="MinionPro-Capt"/>
          <w:color w:val="000000"/>
          <w:sz w:val="18"/>
          <w:szCs w:val="18"/>
        </w:rPr>
        <w:t xml:space="preserve">iothérapie concomitante dans la </w:t>
      </w:r>
      <w:r>
        <w:rPr>
          <w:rFonts w:ascii="MinionPro-Capt" w:hAnsi="MinionPro-Capt" w:cs="MinionPro-Capt"/>
          <w:color w:val="000000"/>
          <w:sz w:val="18"/>
          <w:szCs w:val="18"/>
        </w:rPr>
        <w:t>stratégie thérapeutique des adénocarcinomes du pancréas exocrine et de l’</w:t>
      </w:r>
      <w:r>
        <w:rPr>
          <w:rFonts w:ascii="MinionPro-Capt" w:hAnsi="MinionPro-Capt" w:cs="MinionPro-Capt"/>
          <w:color w:val="000000"/>
          <w:sz w:val="18"/>
          <w:szCs w:val="18"/>
        </w:rPr>
        <w:t xml:space="preserve">estomac. </w:t>
      </w:r>
      <w:r>
        <w:rPr>
          <w:rFonts w:ascii="MinionPro-Capt" w:hAnsi="MinionPro-Capt" w:cs="MinionPro-Capt"/>
          <w:color w:val="000000"/>
          <w:sz w:val="19"/>
          <w:szCs w:val="19"/>
        </w:rPr>
        <w:t xml:space="preserve">Cancer </w:t>
      </w:r>
      <w:r>
        <w:rPr>
          <w:rFonts w:ascii="MinionPro-Capt" w:hAnsi="MinionPro-Capt" w:cs="MinionPro-Capt"/>
          <w:color w:val="000000"/>
          <w:sz w:val="18"/>
          <w:szCs w:val="18"/>
        </w:rPr>
        <w:t>/</w:t>
      </w:r>
      <w:r>
        <w:rPr>
          <w:rFonts w:ascii="MinionPro-Capt" w:hAnsi="MinionPro-Capt" w:cs="MinionPro-Capt"/>
          <w:color w:val="000000"/>
          <w:sz w:val="19"/>
          <w:szCs w:val="19"/>
        </w:rPr>
        <w:t xml:space="preserve">Radiothérapie </w:t>
      </w:r>
      <w:r>
        <w:rPr>
          <w:rFonts w:ascii="MinionPro-Capt" w:hAnsi="MinionPro-Capt" w:cs="MinionPro-Capt"/>
          <w:color w:val="000000"/>
          <w:sz w:val="18"/>
          <w:szCs w:val="18"/>
        </w:rPr>
        <w:t xml:space="preserve">, 2, 696-702. </w:t>
      </w:r>
      <w:r>
        <w:rPr>
          <w:rFonts w:ascii="MinionPro-Capt" w:hAnsi="MinionPro-Capt" w:cs="MinionPro-Capt"/>
          <w:color w:val="0000FF"/>
          <w:sz w:val="18"/>
          <w:szCs w:val="18"/>
        </w:rPr>
        <w:t>https://doi.org/10.1016/S1278-3218(99)80010-9</w:t>
      </w:r>
    </w:p>
    <w:p w:rsidR="003549BE" w:rsidRPr="003549BE" w:rsidRDefault="003549BE" w:rsidP="003549BE">
      <w:pPr>
        <w:autoSpaceDE w:val="0"/>
        <w:autoSpaceDN w:val="0"/>
        <w:adjustRightInd w:val="0"/>
        <w:spacing w:after="0" w:line="240" w:lineRule="auto"/>
        <w:rPr>
          <w:rFonts w:ascii="MinionPro-Capt" w:hAnsi="MinionPro-Capt" w:cs="MinionPro-Capt"/>
          <w:color w:val="000000"/>
          <w:sz w:val="18"/>
          <w:szCs w:val="18"/>
        </w:rPr>
      </w:pPr>
      <w:r>
        <w:rPr>
          <w:rFonts w:ascii="MinionPro-Capt" w:hAnsi="MinionPro-Capt" w:cs="MinionPro-Capt"/>
          <w:color w:val="000000"/>
          <w:sz w:val="18"/>
          <w:szCs w:val="18"/>
        </w:rPr>
        <w:t xml:space="preserve">[26] Bertuccio, P., Chatenoud, L., Levi, F., </w:t>
      </w:r>
      <w:r>
        <w:rPr>
          <w:rFonts w:ascii="MinionPro-Capt" w:hAnsi="MinionPro-Capt" w:cs="MinionPro-Capt"/>
          <w:color w:val="000000"/>
          <w:sz w:val="19"/>
          <w:szCs w:val="19"/>
        </w:rPr>
        <w:t xml:space="preserve">et al </w:t>
      </w:r>
      <w:r>
        <w:rPr>
          <w:rFonts w:ascii="MinionPro-Capt" w:hAnsi="MinionPro-Capt" w:cs="MinionPro-Capt"/>
          <w:color w:val="000000"/>
          <w:sz w:val="18"/>
          <w:szCs w:val="18"/>
        </w:rPr>
        <w:t>. (2009) Rec</w:t>
      </w:r>
      <w:r>
        <w:rPr>
          <w:rFonts w:ascii="MinionPro-Capt" w:hAnsi="MinionPro-Capt" w:cs="MinionPro-Capt"/>
          <w:color w:val="000000"/>
          <w:sz w:val="18"/>
          <w:szCs w:val="18"/>
        </w:rPr>
        <w:t xml:space="preserve">ent Patterns in Gastric Cancer: </w:t>
      </w:r>
      <w:r>
        <w:rPr>
          <w:rFonts w:ascii="MinionPro-Capt" w:hAnsi="MinionPro-Capt" w:cs="MinionPro-Capt"/>
          <w:color w:val="000000"/>
          <w:sz w:val="18"/>
          <w:szCs w:val="18"/>
        </w:rPr>
        <w:t xml:space="preserve">A Global Overview. </w:t>
      </w:r>
      <w:r>
        <w:rPr>
          <w:rFonts w:ascii="MinionPro-Capt" w:hAnsi="MinionPro-Capt" w:cs="MinionPro-Capt"/>
          <w:color w:val="000000"/>
          <w:sz w:val="19"/>
          <w:szCs w:val="19"/>
        </w:rPr>
        <w:t xml:space="preserve">International Journal of Cancer </w:t>
      </w:r>
      <w:r>
        <w:rPr>
          <w:rFonts w:ascii="MinionPro-Capt" w:hAnsi="MinionPro-Capt" w:cs="MinionPro-Capt"/>
          <w:color w:val="000000"/>
          <w:sz w:val="18"/>
          <w:szCs w:val="18"/>
        </w:rPr>
        <w:t xml:space="preserve">, 125, 666-673. </w:t>
      </w:r>
      <w:r>
        <w:rPr>
          <w:rFonts w:ascii="MinionPro-Capt" w:hAnsi="MinionPro-Capt" w:cs="MinionPro-Capt"/>
          <w:color w:val="0000FF"/>
          <w:sz w:val="18"/>
          <w:szCs w:val="18"/>
        </w:rPr>
        <w:t>https://doi.org/10.1002/ijc.24290</w:t>
      </w:r>
    </w:p>
    <w:p w:rsidR="003549BE" w:rsidRPr="003549BE" w:rsidRDefault="003549BE" w:rsidP="003549BE">
      <w:pPr>
        <w:autoSpaceDE w:val="0"/>
        <w:autoSpaceDN w:val="0"/>
        <w:adjustRightInd w:val="0"/>
        <w:spacing w:after="0" w:line="240" w:lineRule="auto"/>
        <w:rPr>
          <w:rFonts w:ascii="MinionPro-Capt" w:hAnsi="MinionPro-Capt" w:cs="MinionPro-Capt"/>
          <w:color w:val="000000"/>
          <w:sz w:val="18"/>
          <w:szCs w:val="18"/>
        </w:rPr>
      </w:pPr>
      <w:r>
        <w:rPr>
          <w:rFonts w:ascii="MinionPro-Capt" w:hAnsi="MinionPro-Capt" w:cs="MinionPro-Capt"/>
          <w:color w:val="000000"/>
          <w:sz w:val="20"/>
          <w:szCs w:val="20"/>
        </w:rPr>
        <w:t xml:space="preserve">[27] </w:t>
      </w:r>
      <w:r>
        <w:rPr>
          <w:rFonts w:ascii="MinionPro-Capt" w:hAnsi="MinionPro-Capt" w:cs="MinionPro-Capt"/>
          <w:color w:val="000000"/>
          <w:sz w:val="18"/>
          <w:szCs w:val="18"/>
        </w:rPr>
        <w:t>Quero, L., Guillerm, S. and Hennequin, C.</w:t>
      </w:r>
      <w:r>
        <w:rPr>
          <w:rFonts w:ascii="MinionPro-Capt" w:hAnsi="MinionPro-Capt" w:cs="MinionPro-Capt"/>
          <w:color w:val="000000"/>
          <w:sz w:val="18"/>
          <w:szCs w:val="18"/>
        </w:rPr>
        <w:t xml:space="preserve"> (2015) Néoadjuvant ou thérapie </w:t>
      </w:r>
      <w:r>
        <w:rPr>
          <w:rFonts w:ascii="MinionPro-Capt" w:hAnsi="MinionPro-Capt" w:cs="MinionPro-Capt"/>
          <w:color w:val="000000"/>
          <w:sz w:val="18"/>
          <w:szCs w:val="18"/>
        </w:rPr>
        <w:t xml:space="preserve">adjuvante pour le cancer gastrique. </w:t>
      </w:r>
      <w:r>
        <w:rPr>
          <w:rFonts w:ascii="MinionPro-Capt" w:hAnsi="MinionPro-Capt" w:cs="MinionPro-Capt"/>
          <w:color w:val="000000"/>
          <w:sz w:val="19"/>
          <w:szCs w:val="19"/>
        </w:rPr>
        <w:t xml:space="preserve">World Journal of Gastrointestinal Oncology </w:t>
      </w:r>
      <w:r>
        <w:rPr>
          <w:rFonts w:ascii="MinionPro-Capt" w:hAnsi="MinionPro-Capt" w:cs="MinionPro-Capt"/>
          <w:color w:val="000000"/>
          <w:sz w:val="18"/>
          <w:szCs w:val="18"/>
        </w:rPr>
        <w:t xml:space="preserve">, 7, </w:t>
      </w:r>
      <w:bookmarkStart w:id="0" w:name="_GoBack"/>
      <w:bookmarkEnd w:id="0"/>
      <w:r>
        <w:rPr>
          <w:rFonts w:ascii="MinionPro-Capt" w:hAnsi="MinionPro-Capt" w:cs="MinionPro-Capt"/>
          <w:color w:val="000000"/>
          <w:sz w:val="18"/>
          <w:szCs w:val="18"/>
        </w:rPr>
        <w:t>102-110.</w:t>
      </w:r>
    </w:p>
    <w:p w:rsidR="003549BE" w:rsidRDefault="003549BE" w:rsidP="00996533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Cs/>
        </w:rPr>
      </w:pPr>
    </w:p>
    <w:p w:rsidR="003549BE" w:rsidRDefault="003549BE" w:rsidP="00996533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Cs/>
        </w:rPr>
      </w:pPr>
    </w:p>
    <w:p w:rsidR="003549BE" w:rsidRDefault="003549BE" w:rsidP="00996533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Cs/>
        </w:rPr>
      </w:pPr>
    </w:p>
    <w:p w:rsidR="00957DD3" w:rsidRDefault="00246F54" w:rsidP="00996533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Cs/>
        </w:rPr>
      </w:pPr>
      <w:r>
        <w:rPr>
          <w:rFonts w:ascii="Cambria-Bold" w:hAnsi="Cambria-Bold" w:cs="Cambria-Bold"/>
          <w:bCs/>
          <w:noProof/>
          <w:lang w:eastAsia="fr-FR"/>
        </w:rPr>
        <w:drawing>
          <wp:inline distT="0" distB="0" distL="0" distR="0">
            <wp:extent cx="1631950" cy="1741645"/>
            <wp:effectExtent l="0" t="0" r="635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V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0336" cy="1761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-Bold" w:hAnsi="Cambria-Bold" w:cs="Cambria-Bold"/>
          <w:bCs/>
        </w:rPr>
        <w:t xml:space="preserve"> Biography</w:t>
      </w:r>
    </w:p>
    <w:p w:rsidR="00246F54" w:rsidRPr="00996533" w:rsidRDefault="00246F54" w:rsidP="00996533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Cs/>
        </w:rPr>
      </w:pPr>
      <w:r w:rsidRPr="00246F54">
        <w:rPr>
          <w:rFonts w:ascii="Cambria-Bold" w:hAnsi="Cambria-Bold" w:cs="Cambria-Bold"/>
          <w:bCs/>
        </w:rPr>
        <w:t>Dr Kanta Ka is a radiation oncologist at the National University center of Dalal Jamm in Senegal.He is currently doing translational and clinical research at the Institut Gustave Roussy in Paris after a one-year internship in the radiotherapy department. Dr Ka also has a diploma in radiobiology, radiotherapy of head and neck cancers</w:t>
      </w:r>
      <w:r>
        <w:rPr>
          <w:rFonts w:ascii="Cambria-Bold" w:hAnsi="Cambria-Bold" w:cs="Cambria-Bold"/>
          <w:bCs/>
        </w:rPr>
        <w:t>, master of Biology health</w:t>
      </w:r>
      <w:r w:rsidRPr="00246F54">
        <w:rPr>
          <w:rFonts w:ascii="Cambria-Bold" w:hAnsi="Cambria-Bold" w:cs="Cambria-Bold"/>
          <w:bCs/>
        </w:rPr>
        <w:t>.  I am currently leading 2 research projects of the brachytherapy group of the French Society of Oncological Radiotherapy</w:t>
      </w:r>
      <w:r>
        <w:rPr>
          <w:rFonts w:ascii="Cambria-Bold" w:hAnsi="Cambria-Bold" w:cs="Cambria-Bold"/>
          <w:bCs/>
        </w:rPr>
        <w:t>.</w:t>
      </w:r>
    </w:p>
    <w:sectPr w:rsidR="00246F54" w:rsidRPr="009965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inionPro-Cap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533"/>
    <w:rsid w:val="001850F8"/>
    <w:rsid w:val="00246F54"/>
    <w:rsid w:val="003549BE"/>
    <w:rsid w:val="00957DD3"/>
    <w:rsid w:val="00996533"/>
    <w:rsid w:val="00B039EB"/>
    <w:rsid w:val="00EE7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38F22"/>
  <w15:chartTrackingRefBased/>
  <w15:docId w15:val="{04BDEAE4-D508-4808-BA09-1C5037150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Ombrageclair">
    <w:name w:val="Light Shading"/>
    <w:basedOn w:val="TableauNormal"/>
    <w:uiPriority w:val="60"/>
    <w:rsid w:val="00EE7E75"/>
    <w:pPr>
      <w:spacing w:after="0" w:line="240" w:lineRule="auto"/>
    </w:pPr>
    <w:rPr>
      <w:rFonts w:eastAsiaTheme="minorEastAsia"/>
      <w:color w:val="000000" w:themeColor="text1" w:themeShade="BF"/>
      <w:sz w:val="24"/>
      <w:szCs w:val="24"/>
      <w:lang w:val="en-US" w:eastAsia="fr-FR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Lienhypertexte">
    <w:name w:val="Hyperlink"/>
    <w:basedOn w:val="Policepardfaut"/>
    <w:uiPriority w:val="99"/>
    <w:unhideWhenUsed/>
    <w:rsid w:val="003549B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s://doi.org/10.1093/annonc/mdr135" TargetMode="Externa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1321</Words>
  <Characters>7269</Characters>
  <Application>Microsoft Office Word</Application>
  <DocSecurity>0</DocSecurity>
  <Lines>60</Lines>
  <Paragraphs>17</Paragraphs>
  <ScaleCrop>false</ScaleCrop>
  <Company/>
  <LinksUpToDate>false</LinksUpToDate>
  <CharactersWithSpaces>8573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ka.kanta04@gmail.com</dc:creator>
  <cp:keywords/>
  <dc:description/>
  <cp:lastModifiedBy>ka.kanta04@gmail.com</cp:lastModifiedBy>
  <cp:revision>9</cp:revision>
  <dcterms:created xsi:type="dcterms:W3CDTF">2021-04-19T13:58:00Z</dcterms:created>
  <dcterms:modified xsi:type="dcterms:W3CDTF">2021-04-19T14:29:00Z</dcterms:modified>
</cp:coreProperties>
</file>