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ECC88" w14:textId="1CB5DA12" w:rsidR="00AE3E37" w:rsidRDefault="00331044" w:rsidP="00494130">
      <w:pPr>
        <w:pStyle w:val="Heading1"/>
        <w:spacing w:before="170"/>
        <w:ind w:left="0"/>
      </w:pPr>
      <w:r w:rsidRPr="00331044">
        <w:rPr>
          <w:color w:val="337AB7"/>
        </w:rPr>
        <w:t>Subconjunctival Carboplatin and Etoposide Polymeric Microparticles for the Effective Therapy against Retinoblastoma</w:t>
      </w:r>
    </w:p>
    <w:p w14:paraId="1A8B1372" w14:textId="77777777" w:rsidR="00331044" w:rsidRPr="00331044" w:rsidRDefault="00331044" w:rsidP="00331044">
      <w:pPr>
        <w:spacing w:before="240" w:line="276" w:lineRule="auto"/>
        <w:jc w:val="both"/>
        <w:rPr>
          <w:rFonts w:ascii="Arial" w:hAnsi="Arial" w:cs="Arial"/>
          <w:sz w:val="18"/>
          <w:szCs w:val="18"/>
        </w:rPr>
      </w:pPr>
      <w:r w:rsidRPr="00331044">
        <w:rPr>
          <w:rFonts w:ascii="Arial" w:hAnsi="Arial" w:cs="Arial"/>
          <w:b/>
          <w:bCs/>
          <w:sz w:val="18"/>
          <w:szCs w:val="18"/>
        </w:rPr>
        <w:t xml:space="preserve">Authors: </w:t>
      </w:r>
      <w:proofErr w:type="spellStart"/>
      <w:r w:rsidRPr="00331044">
        <w:rPr>
          <w:rFonts w:ascii="Arial" w:hAnsi="Arial" w:cs="Arial"/>
          <w:sz w:val="18"/>
          <w:szCs w:val="18"/>
          <w:u w:val="single"/>
        </w:rPr>
        <w:t>Rutika</w:t>
      </w:r>
      <w:proofErr w:type="spellEnd"/>
      <w:r w:rsidRPr="00331044">
        <w:rPr>
          <w:rFonts w:ascii="Arial" w:hAnsi="Arial" w:cs="Arial"/>
          <w:sz w:val="18"/>
          <w:szCs w:val="18"/>
          <w:u w:val="single"/>
        </w:rPr>
        <w:t xml:space="preserve"> D. Godse*</w:t>
      </w:r>
      <w:r w:rsidRPr="00331044">
        <w:rPr>
          <w:rFonts w:ascii="Arial" w:hAnsi="Arial" w:cs="Arial"/>
          <w:sz w:val="18"/>
          <w:szCs w:val="18"/>
          <w:u w:val="single"/>
          <w:vertAlign w:val="superscript"/>
        </w:rPr>
        <w:t>1</w:t>
      </w:r>
      <w:r w:rsidRPr="00331044">
        <w:rPr>
          <w:rFonts w:ascii="Arial" w:hAnsi="Arial" w:cs="Arial"/>
          <w:sz w:val="18"/>
          <w:szCs w:val="18"/>
        </w:rPr>
        <w:t xml:space="preserve">, </w:t>
      </w:r>
      <w:proofErr w:type="spellStart"/>
      <w:r w:rsidRPr="00331044">
        <w:rPr>
          <w:rFonts w:ascii="Arial" w:hAnsi="Arial" w:cs="Arial"/>
          <w:sz w:val="18"/>
          <w:szCs w:val="18"/>
        </w:rPr>
        <w:t>Maitreyi</w:t>
      </w:r>
      <w:proofErr w:type="spellEnd"/>
      <w:r w:rsidRPr="00331044">
        <w:rPr>
          <w:rFonts w:ascii="Arial" w:hAnsi="Arial" w:cs="Arial"/>
          <w:sz w:val="18"/>
          <w:szCs w:val="18"/>
        </w:rPr>
        <w:t xml:space="preserve"> Rathod</w:t>
      </w:r>
      <w:r w:rsidRPr="00331044">
        <w:rPr>
          <w:rFonts w:ascii="Arial" w:hAnsi="Arial" w:cs="Arial"/>
          <w:sz w:val="18"/>
          <w:szCs w:val="18"/>
          <w:vertAlign w:val="superscript"/>
        </w:rPr>
        <w:t>2</w:t>
      </w:r>
      <w:r w:rsidRPr="00331044">
        <w:rPr>
          <w:rFonts w:ascii="Arial" w:hAnsi="Arial" w:cs="Arial"/>
          <w:sz w:val="18"/>
          <w:szCs w:val="18"/>
        </w:rPr>
        <w:t>, Rahul Thorat</w:t>
      </w:r>
      <w:r w:rsidRPr="00331044">
        <w:rPr>
          <w:rFonts w:ascii="Arial" w:hAnsi="Arial" w:cs="Arial"/>
          <w:sz w:val="18"/>
          <w:szCs w:val="18"/>
          <w:vertAlign w:val="superscript"/>
        </w:rPr>
        <w:t>2</w:t>
      </w:r>
      <w:r w:rsidRPr="00331044">
        <w:rPr>
          <w:rFonts w:ascii="Arial" w:hAnsi="Arial" w:cs="Arial"/>
          <w:sz w:val="18"/>
          <w:szCs w:val="18"/>
        </w:rPr>
        <w:t>, Abhijit De</w:t>
      </w:r>
      <w:r w:rsidRPr="00331044">
        <w:rPr>
          <w:rFonts w:ascii="Arial" w:hAnsi="Arial" w:cs="Arial"/>
          <w:sz w:val="18"/>
          <w:szCs w:val="18"/>
          <w:vertAlign w:val="superscript"/>
        </w:rPr>
        <w:t>2</w:t>
      </w:r>
      <w:r w:rsidRPr="00331044">
        <w:rPr>
          <w:rFonts w:ascii="Arial" w:hAnsi="Arial" w:cs="Arial"/>
          <w:sz w:val="18"/>
          <w:szCs w:val="18"/>
        </w:rPr>
        <w:t xml:space="preserve">, </w:t>
      </w:r>
      <w:proofErr w:type="spellStart"/>
      <w:r w:rsidRPr="00331044">
        <w:rPr>
          <w:rFonts w:ascii="Arial" w:hAnsi="Arial" w:cs="Arial"/>
          <w:sz w:val="18"/>
          <w:szCs w:val="18"/>
        </w:rPr>
        <w:t>Ujwala</w:t>
      </w:r>
      <w:proofErr w:type="spellEnd"/>
      <w:r w:rsidRPr="00331044">
        <w:rPr>
          <w:rFonts w:ascii="Arial" w:hAnsi="Arial" w:cs="Arial"/>
          <w:sz w:val="18"/>
          <w:szCs w:val="18"/>
        </w:rPr>
        <w:t xml:space="preserve"> A. Shinde</w:t>
      </w:r>
      <w:r w:rsidRPr="00331044">
        <w:rPr>
          <w:rFonts w:ascii="Arial" w:hAnsi="Arial" w:cs="Arial"/>
          <w:sz w:val="18"/>
          <w:szCs w:val="18"/>
          <w:vertAlign w:val="superscript"/>
        </w:rPr>
        <w:t>1</w:t>
      </w:r>
    </w:p>
    <w:p w14:paraId="6475C624" w14:textId="77777777" w:rsidR="00331044" w:rsidRPr="00331044" w:rsidRDefault="00331044" w:rsidP="00331044">
      <w:pPr>
        <w:spacing w:before="240" w:line="360" w:lineRule="auto"/>
        <w:jc w:val="both"/>
        <w:rPr>
          <w:rFonts w:ascii="Arial" w:hAnsi="Arial" w:cs="Arial"/>
          <w:b/>
          <w:bCs/>
          <w:sz w:val="18"/>
          <w:szCs w:val="18"/>
        </w:rPr>
      </w:pPr>
      <w:r w:rsidRPr="00331044">
        <w:rPr>
          <w:rFonts w:ascii="Arial" w:hAnsi="Arial" w:cs="Arial"/>
          <w:b/>
          <w:bCs/>
          <w:sz w:val="18"/>
          <w:szCs w:val="18"/>
        </w:rPr>
        <w:t xml:space="preserve">Affiliations: </w:t>
      </w:r>
    </w:p>
    <w:p w14:paraId="37E3D46B" w14:textId="05787869" w:rsidR="00331044" w:rsidRPr="00331044" w:rsidRDefault="00331044" w:rsidP="00331044">
      <w:pPr>
        <w:spacing w:line="360" w:lineRule="auto"/>
        <w:jc w:val="both"/>
        <w:rPr>
          <w:rFonts w:ascii="Arial" w:hAnsi="Arial" w:cs="Arial"/>
          <w:sz w:val="18"/>
          <w:szCs w:val="18"/>
        </w:rPr>
      </w:pPr>
      <w:r w:rsidRPr="00331044">
        <w:rPr>
          <w:rFonts w:ascii="Arial" w:hAnsi="Arial" w:cs="Arial"/>
          <w:b/>
          <w:bCs/>
          <w:sz w:val="18"/>
          <w:szCs w:val="18"/>
        </w:rPr>
        <w:t>*</w:t>
      </w:r>
      <w:r w:rsidRPr="00331044">
        <w:rPr>
          <w:rFonts w:ascii="Arial" w:hAnsi="Arial" w:cs="Arial"/>
          <w:b/>
          <w:bCs/>
          <w:sz w:val="18"/>
          <w:szCs w:val="18"/>
          <w:vertAlign w:val="superscript"/>
        </w:rPr>
        <w:t>1</w:t>
      </w:r>
      <w:r w:rsidRPr="00331044">
        <w:rPr>
          <w:rFonts w:ascii="Arial" w:hAnsi="Arial" w:cs="Arial"/>
          <w:b/>
          <w:bCs/>
          <w:sz w:val="18"/>
          <w:szCs w:val="18"/>
        </w:rPr>
        <w:t xml:space="preserve"> </w:t>
      </w:r>
      <w:proofErr w:type="spellStart"/>
      <w:r w:rsidRPr="00331044">
        <w:rPr>
          <w:rFonts w:ascii="Arial" w:hAnsi="Arial" w:cs="Arial"/>
          <w:b/>
          <w:bCs/>
          <w:sz w:val="18"/>
          <w:szCs w:val="18"/>
        </w:rPr>
        <w:t>Rutika</w:t>
      </w:r>
      <w:proofErr w:type="spellEnd"/>
      <w:r w:rsidRPr="00331044">
        <w:rPr>
          <w:rFonts w:ascii="Arial" w:hAnsi="Arial" w:cs="Arial"/>
          <w:b/>
          <w:bCs/>
          <w:sz w:val="18"/>
          <w:szCs w:val="18"/>
        </w:rPr>
        <w:t xml:space="preserve"> D. Godse</w:t>
      </w:r>
      <w:r w:rsidRPr="00331044">
        <w:rPr>
          <w:rFonts w:ascii="Arial" w:hAnsi="Arial" w:cs="Arial"/>
          <w:sz w:val="18"/>
          <w:szCs w:val="18"/>
        </w:rPr>
        <w:t xml:space="preserve">, Ph.D. Student, Department of Pharmaceutics, Bombay College of Pharmacy, </w:t>
      </w:r>
      <w:proofErr w:type="spellStart"/>
      <w:r w:rsidRPr="00331044">
        <w:rPr>
          <w:rFonts w:ascii="Arial" w:hAnsi="Arial" w:cs="Arial"/>
          <w:sz w:val="18"/>
          <w:szCs w:val="18"/>
        </w:rPr>
        <w:t>Kalina</w:t>
      </w:r>
      <w:proofErr w:type="spellEnd"/>
      <w:r w:rsidRPr="00331044">
        <w:rPr>
          <w:rFonts w:ascii="Arial" w:hAnsi="Arial" w:cs="Arial"/>
          <w:sz w:val="18"/>
          <w:szCs w:val="18"/>
        </w:rPr>
        <w:t>, Santacruz (E), Mumbai - 400098, India</w:t>
      </w:r>
      <w:r>
        <w:rPr>
          <w:rFonts w:ascii="Arial" w:hAnsi="Arial" w:cs="Arial"/>
          <w:sz w:val="18"/>
          <w:szCs w:val="18"/>
        </w:rPr>
        <w:t xml:space="preserve">. </w:t>
      </w:r>
      <w:r w:rsidRPr="00331044">
        <w:rPr>
          <w:rFonts w:ascii="Arial" w:hAnsi="Arial" w:cs="Arial"/>
          <w:sz w:val="18"/>
          <w:szCs w:val="18"/>
        </w:rPr>
        <w:t>E-mail ID: rutika113@gmail.com</w:t>
      </w:r>
    </w:p>
    <w:p w14:paraId="7D47806D" w14:textId="46B4361C" w:rsidR="00331044" w:rsidRPr="00331044" w:rsidRDefault="00331044" w:rsidP="00331044">
      <w:pPr>
        <w:spacing w:before="240"/>
        <w:jc w:val="both"/>
        <w:rPr>
          <w:rFonts w:ascii="Arial" w:hAnsi="Arial" w:cs="Arial"/>
          <w:sz w:val="18"/>
          <w:szCs w:val="18"/>
        </w:rPr>
      </w:pPr>
      <w:r w:rsidRPr="00331044">
        <w:rPr>
          <w:rFonts w:ascii="Arial" w:hAnsi="Arial" w:cs="Arial"/>
          <w:b/>
          <w:bCs/>
          <w:sz w:val="18"/>
          <w:szCs w:val="18"/>
          <w:vertAlign w:val="superscript"/>
        </w:rPr>
        <w:t>2</w:t>
      </w:r>
      <w:r w:rsidRPr="00331044">
        <w:rPr>
          <w:rFonts w:ascii="Arial" w:hAnsi="Arial" w:cs="Arial"/>
          <w:b/>
          <w:bCs/>
          <w:sz w:val="18"/>
          <w:szCs w:val="18"/>
        </w:rPr>
        <w:t>Maitreyi Rathod,</w:t>
      </w:r>
      <w:r w:rsidRPr="00331044">
        <w:rPr>
          <w:rFonts w:ascii="Arial" w:hAnsi="Arial" w:cs="Arial"/>
          <w:sz w:val="18"/>
          <w:szCs w:val="18"/>
        </w:rPr>
        <w:t> </w:t>
      </w:r>
      <w:proofErr w:type="spellStart"/>
      <w:proofErr w:type="gramStart"/>
      <w:r w:rsidRPr="00331044">
        <w:rPr>
          <w:rFonts w:ascii="Arial" w:hAnsi="Arial" w:cs="Arial"/>
          <w:sz w:val="18"/>
          <w:szCs w:val="18"/>
        </w:rPr>
        <w:t>Ph.D</w:t>
      </w:r>
      <w:proofErr w:type="spellEnd"/>
      <w:proofErr w:type="gramEnd"/>
      <w:r w:rsidRPr="00331044">
        <w:rPr>
          <w:rFonts w:ascii="Arial" w:hAnsi="Arial" w:cs="Arial"/>
          <w:sz w:val="18"/>
          <w:szCs w:val="18"/>
        </w:rPr>
        <w:t xml:space="preserve"> student, Molecular Functional Imaging Lab (De lab), Advanced Centre for Treatment, Research &amp; Education in Cancer (ACTREC)</w:t>
      </w:r>
    </w:p>
    <w:p w14:paraId="76C16375" w14:textId="29BB60CC" w:rsidR="00331044" w:rsidRPr="00331044" w:rsidRDefault="00331044" w:rsidP="00331044">
      <w:pPr>
        <w:spacing w:before="240"/>
        <w:jc w:val="both"/>
        <w:rPr>
          <w:rFonts w:ascii="Arial" w:hAnsi="Arial" w:cs="Arial"/>
          <w:sz w:val="18"/>
          <w:szCs w:val="18"/>
        </w:rPr>
      </w:pPr>
      <w:r w:rsidRPr="00331044">
        <w:rPr>
          <w:rFonts w:ascii="Arial" w:hAnsi="Arial" w:cs="Arial"/>
          <w:b/>
          <w:bCs/>
          <w:sz w:val="18"/>
          <w:szCs w:val="18"/>
          <w:vertAlign w:val="superscript"/>
        </w:rPr>
        <w:t>2</w:t>
      </w:r>
      <w:r w:rsidRPr="00331044">
        <w:rPr>
          <w:rFonts w:ascii="Arial" w:hAnsi="Arial" w:cs="Arial"/>
          <w:b/>
          <w:bCs/>
          <w:sz w:val="18"/>
          <w:szCs w:val="18"/>
        </w:rPr>
        <w:t xml:space="preserve">Dr. Rahul A. </w:t>
      </w:r>
      <w:proofErr w:type="spellStart"/>
      <w:r w:rsidRPr="00331044">
        <w:rPr>
          <w:rFonts w:ascii="Arial" w:hAnsi="Arial" w:cs="Arial"/>
          <w:b/>
          <w:bCs/>
          <w:sz w:val="18"/>
          <w:szCs w:val="18"/>
        </w:rPr>
        <w:t>Thorat</w:t>
      </w:r>
      <w:proofErr w:type="spellEnd"/>
      <w:r w:rsidRPr="00331044">
        <w:rPr>
          <w:rFonts w:ascii="Arial" w:hAnsi="Arial" w:cs="Arial"/>
          <w:sz w:val="18"/>
          <w:szCs w:val="18"/>
        </w:rPr>
        <w:t>, Scientific Officer ‘D’, ACTREC</w:t>
      </w:r>
    </w:p>
    <w:p w14:paraId="5CC7C6CF" w14:textId="7AA3536B" w:rsidR="00331044" w:rsidRPr="00331044" w:rsidRDefault="00331044" w:rsidP="00331044">
      <w:pPr>
        <w:spacing w:before="240"/>
        <w:jc w:val="both"/>
        <w:rPr>
          <w:rFonts w:ascii="Arial" w:hAnsi="Arial" w:cs="Arial"/>
          <w:sz w:val="18"/>
          <w:szCs w:val="18"/>
        </w:rPr>
      </w:pPr>
      <w:r w:rsidRPr="00331044">
        <w:rPr>
          <w:rFonts w:ascii="Arial" w:hAnsi="Arial" w:cs="Arial"/>
          <w:b/>
          <w:bCs/>
          <w:sz w:val="18"/>
          <w:szCs w:val="18"/>
          <w:vertAlign w:val="superscript"/>
        </w:rPr>
        <w:t>2</w:t>
      </w:r>
      <w:r w:rsidRPr="00331044">
        <w:rPr>
          <w:rFonts w:ascii="Arial" w:hAnsi="Arial" w:cs="Arial"/>
          <w:b/>
          <w:bCs/>
          <w:sz w:val="18"/>
          <w:szCs w:val="18"/>
        </w:rPr>
        <w:t>Dr. Abhijit De</w:t>
      </w:r>
      <w:r w:rsidRPr="00331044">
        <w:rPr>
          <w:rFonts w:ascii="Arial" w:hAnsi="Arial" w:cs="Arial"/>
          <w:sz w:val="18"/>
          <w:szCs w:val="18"/>
        </w:rPr>
        <w:t>, Scientific Officer ‘F’ and Principal Investigator, Molecular Functional Imaging Laboratory In-Charge, Molecular Imaging Core Facility, ACTREC</w:t>
      </w:r>
    </w:p>
    <w:p w14:paraId="77E0EC1A" w14:textId="0458E01A" w:rsidR="00331044" w:rsidRPr="00331044" w:rsidRDefault="00331044" w:rsidP="00331044">
      <w:pPr>
        <w:spacing w:before="240"/>
        <w:jc w:val="both"/>
        <w:rPr>
          <w:rFonts w:ascii="Arial" w:hAnsi="Arial" w:cs="Arial"/>
          <w:b/>
          <w:bCs/>
          <w:sz w:val="18"/>
          <w:szCs w:val="18"/>
        </w:rPr>
      </w:pPr>
      <w:r w:rsidRPr="00331044">
        <w:rPr>
          <w:rFonts w:ascii="Arial" w:hAnsi="Arial" w:cs="Arial"/>
          <w:b/>
          <w:bCs/>
          <w:sz w:val="18"/>
          <w:szCs w:val="18"/>
          <w:vertAlign w:val="superscript"/>
        </w:rPr>
        <w:t>1</w:t>
      </w:r>
      <w:r w:rsidRPr="00331044">
        <w:rPr>
          <w:rFonts w:ascii="Arial" w:hAnsi="Arial" w:cs="Arial"/>
          <w:b/>
          <w:bCs/>
          <w:sz w:val="18"/>
          <w:szCs w:val="18"/>
        </w:rPr>
        <w:t xml:space="preserve">Dr. </w:t>
      </w:r>
      <w:proofErr w:type="spellStart"/>
      <w:r w:rsidRPr="00331044">
        <w:rPr>
          <w:rFonts w:ascii="Arial" w:hAnsi="Arial" w:cs="Arial"/>
          <w:b/>
          <w:bCs/>
          <w:sz w:val="18"/>
          <w:szCs w:val="18"/>
        </w:rPr>
        <w:t>Ujwala</w:t>
      </w:r>
      <w:proofErr w:type="spellEnd"/>
      <w:r w:rsidRPr="00331044">
        <w:rPr>
          <w:rFonts w:ascii="Arial" w:hAnsi="Arial" w:cs="Arial"/>
          <w:b/>
          <w:bCs/>
          <w:sz w:val="18"/>
          <w:szCs w:val="18"/>
        </w:rPr>
        <w:t xml:space="preserve"> A. Shinde</w:t>
      </w:r>
      <w:r>
        <w:rPr>
          <w:rFonts w:ascii="Arial" w:hAnsi="Arial" w:cs="Arial"/>
          <w:b/>
          <w:bCs/>
          <w:sz w:val="18"/>
          <w:szCs w:val="18"/>
        </w:rPr>
        <w:t xml:space="preserve">, </w:t>
      </w:r>
      <w:r w:rsidRPr="00331044">
        <w:rPr>
          <w:rFonts w:ascii="Arial" w:hAnsi="Arial" w:cs="Arial"/>
          <w:sz w:val="18"/>
          <w:szCs w:val="18"/>
        </w:rPr>
        <w:t>Associate Professor of Pharmaceutics, Department of Pharmaceutics, Bombay College of Pharmacy</w:t>
      </w:r>
    </w:p>
    <w:p w14:paraId="4E652D63" w14:textId="77777777" w:rsidR="00331044" w:rsidRDefault="00331044" w:rsidP="005973B9">
      <w:pPr>
        <w:pStyle w:val="BodyText"/>
        <w:spacing w:before="73" w:line="198" w:lineRule="exact"/>
        <w:ind w:left="100" w:right="5987"/>
        <w:rPr>
          <w:rFonts w:ascii="Arial"/>
        </w:rPr>
      </w:pPr>
    </w:p>
    <w:p w14:paraId="4D4BF154" w14:textId="5FD5ACDA" w:rsidR="005973B9" w:rsidRDefault="005973B9" w:rsidP="005973B9">
      <w:pPr>
        <w:pStyle w:val="BodyText"/>
        <w:spacing w:before="73" w:line="198" w:lineRule="exact"/>
        <w:ind w:left="100" w:right="5987"/>
        <w:rPr>
          <w:rFonts w:ascii="Arial"/>
        </w:rPr>
      </w:pPr>
    </w:p>
    <w:p w14:paraId="757606F1" w14:textId="77777777" w:rsidR="00AE3E37" w:rsidRDefault="00AE3E37">
      <w:pPr>
        <w:pStyle w:val="BodyText"/>
        <w:rPr>
          <w:rFonts w:ascii="Arial"/>
          <w:sz w:val="20"/>
        </w:rPr>
      </w:pPr>
    </w:p>
    <w:p w14:paraId="1C9E9A7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B992014" w14:textId="1C0D1C51" w:rsidR="00AE3E37" w:rsidRDefault="001A1C58" w:rsidP="001A1C58">
      <w:pPr>
        <w:pStyle w:val="Heading3"/>
        <w:spacing w:before="147"/>
        <w:ind w:left="0"/>
        <w:jc w:val="both"/>
      </w:pPr>
      <w:r>
        <w:rPr>
          <w:color w:val="BF5A14"/>
        </w:rPr>
        <w:t xml:space="preserve">  </w:t>
      </w:r>
      <w:r w:rsidR="00A9710C">
        <w:rPr>
          <w:color w:val="BF5A14"/>
        </w:rPr>
        <w:t>Abstract</w:t>
      </w:r>
      <w:r w:rsidR="00404E5B">
        <w:rPr>
          <w:color w:val="BF5A14"/>
        </w:rPr>
        <w:t xml:space="preserve"> </w:t>
      </w:r>
    </w:p>
    <w:p w14:paraId="64C8947C" w14:textId="77777777" w:rsidR="001A1C58" w:rsidRDefault="001A1C58" w:rsidP="001A1C58">
      <w:pPr>
        <w:pStyle w:val="BodyText"/>
        <w:spacing w:before="90" w:line="280" w:lineRule="auto"/>
        <w:ind w:left="100"/>
        <w:jc w:val="both"/>
      </w:pPr>
      <w:r>
        <w:t>Purpose: The purpose of this study was to develop carboplatin (CPT) and etoposide (ETP) loaded biodegradable polymeric microparticles as a combination therapy for retinoblastoma via subconjunctival route and to evaluate it by in vitro and in vivo methods.</w:t>
      </w:r>
    </w:p>
    <w:p w14:paraId="7DF5458A" w14:textId="77777777" w:rsidR="001A1C58" w:rsidRDefault="001A1C58" w:rsidP="001A1C58">
      <w:pPr>
        <w:pStyle w:val="BodyText"/>
        <w:spacing w:before="90" w:line="280" w:lineRule="auto"/>
        <w:ind w:left="100"/>
        <w:jc w:val="both"/>
      </w:pPr>
      <w:r>
        <w:t>Methods: CPT and ETP loaded PLGA microparticles (CE-MIP) were prepared by emulsification-spray drying technique by optimizing various process and formulation parameters. The optimized drug loaded PLGA microparticles were characterized for particle size, zeta potential, entrapment efficiency and in vitro release. In vitro cytotoxicity studies of CE-MIP and plain drugs were carried out in Y-79 and WERI-</w:t>
      </w:r>
      <w:proofErr w:type="spellStart"/>
      <w:r>
        <w:t>Rb</w:t>
      </w:r>
      <w:proofErr w:type="spellEnd"/>
      <w:r>
        <w:t xml:space="preserve"> cell lines. Anti-tumor efficacy of CE-MIP was also investigated by carrying out Soft agar assay and apoptosis study on Y-79 cell line. The pharmacokinetic parameters of vitreous and plasma drug levels on subconjunctival administration of CE-MIP and free drug were assessed in Sprague Dawley rats. The in vivo efficacy of CE-MIP in the treatment of orthotropic retinoblastoma in nude mice via subconjunctival route was evaluated. </w:t>
      </w:r>
    </w:p>
    <w:p w14:paraId="4579BFEF" w14:textId="77777777" w:rsidR="001A1C58" w:rsidRDefault="001A1C58" w:rsidP="001A1C58">
      <w:pPr>
        <w:pStyle w:val="BodyText"/>
        <w:spacing w:before="90" w:line="280" w:lineRule="auto"/>
        <w:ind w:left="100"/>
        <w:jc w:val="both"/>
      </w:pPr>
      <w:r>
        <w:t xml:space="preserve">Results: The particle size of CE-MIP was found to be 3-14 µm and the zeta potential values ranged between -23.0 to -34.2 mV indicating stability. DSC and XRD studies indicated that CPT and ETP were present in the amorphous phase and may have been homogeneously dispersed in the PLGA matrix. SEM micrographs showed discrete and homogenous particles. The entrapment of ETP and CPT in PLGA microparticles was found to be more than 80% and more than 60% respectively. Drug release study showed that CE-MIP released CPT in 4 h and sustained the release of ETP up to 72 h. In vitro cytotoxicity studies CE-MIP showed greater anti-cancer effect (25.33% cell viability) compared to plain drug mixture (38.56% cell viability) in Y-79 cells (200 </w:t>
      </w:r>
      <w:proofErr w:type="spellStart"/>
      <w:r>
        <w:rPr>
          <w:rFonts w:ascii="Calibri" w:hAnsi="Calibri" w:cs="Calibri"/>
        </w:rPr>
        <w:t>μ</w:t>
      </w:r>
      <w:r>
        <w:t>M</w:t>
      </w:r>
      <w:proofErr w:type="spellEnd"/>
      <w:r>
        <w:t xml:space="preserve"> concentration). In WERI-</w:t>
      </w:r>
      <w:proofErr w:type="spellStart"/>
      <w:r>
        <w:t>Rb</w:t>
      </w:r>
      <w:proofErr w:type="spellEnd"/>
      <w:r>
        <w:t xml:space="preserve"> cell lines, the CE-MIP and plain drug mixture at 100 </w:t>
      </w:r>
      <w:proofErr w:type="spellStart"/>
      <w:r>
        <w:rPr>
          <w:rFonts w:ascii="Calibri" w:hAnsi="Calibri" w:cs="Calibri"/>
        </w:rPr>
        <w:t>μ</w:t>
      </w:r>
      <w:r>
        <w:t>M</w:t>
      </w:r>
      <w:proofErr w:type="spellEnd"/>
      <w:r>
        <w:t xml:space="preserve"> showed % cells viability as 37.82% and 66.08% </w:t>
      </w:r>
      <w:r>
        <w:t>respectively. In the soft agar assay, the CE-MIP treatment demonstrated a significant reduction in the number of colonies (~50% reduction) formed as compared to control. Also, the apoptotic effect of CE-MIP (15.7%) was greater compared to that of control (7.9%). The pharmacokinetic study showed that CPT concentration in the vitreous humor was far higher than that in the plasma, indicating the possibility of minimizing systemic side effects. Mean tumor burden in the CE-MIP treated eyes was significantly smaller compared to the untreated control eyes showing the anti-tumor efficacy of developed CE-MIP.</w:t>
      </w:r>
    </w:p>
    <w:p w14:paraId="0C704602" w14:textId="20690207" w:rsidR="001A1C58" w:rsidRDefault="001A1C58" w:rsidP="001A1C58">
      <w:pPr>
        <w:pStyle w:val="BodyText"/>
        <w:spacing w:before="90" w:line="280" w:lineRule="auto"/>
        <w:ind w:left="100"/>
        <w:jc w:val="both"/>
        <w:rPr>
          <w:color w:val="BF5A14"/>
        </w:rPr>
      </w:pPr>
      <w:r>
        <w:t>Conclusion: Taken together, the study demonstrated that CPT-ETP/PLGA MIP based subconjunctival drug delivery system holds significant potential towards the treatment of retinoblastoma.</w:t>
      </w:r>
      <w:r>
        <w:rPr>
          <w:color w:val="BF5A14"/>
        </w:rPr>
        <w:t xml:space="preserve"> </w:t>
      </w:r>
    </w:p>
    <w:p w14:paraId="4A3A6AAE" w14:textId="4B47B57F" w:rsidR="00AE3E37" w:rsidRDefault="00A9710C" w:rsidP="001A1C58">
      <w:pPr>
        <w:pStyle w:val="Heading3"/>
        <w:spacing w:before="74" w:after="240"/>
      </w:pPr>
      <w:r>
        <w:rPr>
          <w:color w:val="BF5A14"/>
        </w:rPr>
        <w:t>Image</w:t>
      </w:r>
      <w:r w:rsidR="001A1C58">
        <w:rPr>
          <w:color w:val="BF5A14"/>
        </w:rPr>
        <w:t xml:space="preserve">: Graphical Abstract of Research </w:t>
      </w:r>
    </w:p>
    <w:p w14:paraId="3E1B78A4" w14:textId="1BECCB10" w:rsidR="00AE3E37" w:rsidRDefault="00331044">
      <w:pPr>
        <w:pStyle w:val="BodyText"/>
        <w:spacing w:before="2"/>
        <w:rPr>
          <w:rFonts w:ascii="Arial"/>
          <w:b/>
          <w:sz w:val="16"/>
        </w:rPr>
      </w:pPr>
      <w:r>
        <w:rPr>
          <w:rFonts w:ascii="Arial"/>
          <w:b/>
          <w:noProof/>
          <w:sz w:val="16"/>
        </w:rPr>
        <w:drawing>
          <wp:inline distT="0" distB="0" distL="0" distR="0" wp14:anchorId="58D38073" wp14:editId="3125DF57">
            <wp:extent cx="3632835" cy="2043257"/>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6121" cy="2056354"/>
                    </a:xfrm>
                    <a:prstGeom prst="rect">
                      <a:avLst/>
                    </a:prstGeom>
                    <a:noFill/>
                  </pic:spPr>
                </pic:pic>
              </a:graphicData>
            </a:graphic>
          </wp:inline>
        </w:drawing>
      </w:r>
    </w:p>
    <w:p w14:paraId="19298D81" w14:textId="77777777" w:rsidR="0041186A" w:rsidRDefault="005973B9" w:rsidP="005973B9">
      <w:pPr>
        <w:spacing w:line="204" w:lineRule="exact"/>
        <w:rPr>
          <w:rFonts w:ascii="Arial"/>
          <w:b/>
          <w:color w:val="BF5A14"/>
          <w:sz w:val="20"/>
        </w:rPr>
      </w:pPr>
      <w:r>
        <w:rPr>
          <w:rFonts w:ascii="Arial"/>
          <w:b/>
          <w:color w:val="BF5A14"/>
          <w:sz w:val="20"/>
        </w:rPr>
        <w:br/>
      </w:r>
    </w:p>
    <w:p w14:paraId="1BEEECC5" w14:textId="22C6FE92" w:rsidR="00AE3E37" w:rsidRPr="00423FF1" w:rsidRDefault="0041186A" w:rsidP="00423FF1">
      <w:pPr>
        <w:rPr>
          <w:rFonts w:ascii="Arial"/>
          <w:b/>
          <w:color w:val="BF5A14"/>
          <w:sz w:val="20"/>
        </w:rPr>
        <w:sectPr w:rsidR="00AE3E37" w:rsidRPr="00423FF1">
          <w:type w:val="continuous"/>
          <w:pgSz w:w="11910" w:h="16840"/>
          <w:pgMar w:top="1740" w:right="600" w:bottom="840" w:left="620" w:header="720" w:footer="720" w:gutter="0"/>
          <w:cols w:num="2" w:space="720" w:equalWidth="0">
            <w:col w:w="5214" w:space="138"/>
            <w:col w:w="5338"/>
          </w:cols>
        </w:sectPr>
      </w:pPr>
      <w:r>
        <w:rPr>
          <w:rFonts w:ascii="Arial"/>
          <w:b/>
          <w:color w:val="BF5A14"/>
          <w:sz w:val="20"/>
        </w:rPr>
        <w:br w:type="page"/>
      </w:r>
    </w:p>
    <w:p w14:paraId="69C052A3" w14:textId="1F2737EF" w:rsidR="00AE3E37" w:rsidRDefault="00423FF1" w:rsidP="00423FF1">
      <w:pPr>
        <w:spacing w:before="92" w:after="240"/>
        <w:ind w:right="4234"/>
        <w:rPr>
          <w:rFonts w:ascii="Arial"/>
          <w:color w:val="BF5A14"/>
        </w:rPr>
      </w:pPr>
      <w:r>
        <w:rPr>
          <w:rFonts w:ascii="Arial"/>
          <w:b/>
          <w:color w:val="BF5A14"/>
          <w:sz w:val="20"/>
        </w:rPr>
        <w:lastRenderedPageBreak/>
        <w:t xml:space="preserve">Recent Publications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878"/>
        <w:gridCol w:w="2790"/>
        <w:gridCol w:w="2160"/>
        <w:gridCol w:w="720"/>
        <w:gridCol w:w="702"/>
        <w:gridCol w:w="738"/>
      </w:tblGrid>
      <w:tr w:rsidR="0041186A" w:rsidRPr="0041186A" w14:paraId="675AFBA9" w14:textId="77777777" w:rsidTr="007B18F2">
        <w:trPr>
          <w:jc w:val="center"/>
        </w:trPr>
        <w:tc>
          <w:tcPr>
            <w:tcW w:w="570" w:type="dxa"/>
            <w:vAlign w:val="center"/>
          </w:tcPr>
          <w:p w14:paraId="372BCAF4"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b/>
                <w:sz w:val="18"/>
                <w:szCs w:val="18"/>
                <w:lang w:val="en-IN" w:eastAsia="en-IN"/>
              </w:rPr>
              <w:t>S. No.</w:t>
            </w:r>
          </w:p>
        </w:tc>
        <w:tc>
          <w:tcPr>
            <w:tcW w:w="1878" w:type="dxa"/>
            <w:vAlign w:val="center"/>
          </w:tcPr>
          <w:p w14:paraId="2615B2EE"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b/>
                <w:sz w:val="18"/>
                <w:szCs w:val="18"/>
                <w:lang w:val="en-IN" w:eastAsia="en-IN"/>
              </w:rPr>
              <w:t>Authors</w:t>
            </w:r>
          </w:p>
        </w:tc>
        <w:tc>
          <w:tcPr>
            <w:tcW w:w="2790" w:type="dxa"/>
            <w:vAlign w:val="center"/>
          </w:tcPr>
          <w:p w14:paraId="297E2875"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b/>
                <w:sz w:val="18"/>
                <w:szCs w:val="18"/>
                <w:lang w:val="en-IN" w:eastAsia="en-IN"/>
              </w:rPr>
              <w:t>Title</w:t>
            </w:r>
          </w:p>
        </w:tc>
        <w:tc>
          <w:tcPr>
            <w:tcW w:w="2160" w:type="dxa"/>
            <w:vAlign w:val="center"/>
          </w:tcPr>
          <w:p w14:paraId="67E2DBBB"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b/>
                <w:sz w:val="18"/>
                <w:szCs w:val="18"/>
                <w:lang w:val="en-IN" w:eastAsia="en-IN"/>
              </w:rPr>
              <w:t>Journal</w:t>
            </w:r>
          </w:p>
        </w:tc>
        <w:tc>
          <w:tcPr>
            <w:tcW w:w="720" w:type="dxa"/>
            <w:vAlign w:val="center"/>
          </w:tcPr>
          <w:p w14:paraId="05147CDD"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b/>
                <w:sz w:val="18"/>
                <w:szCs w:val="18"/>
                <w:lang w:val="en-IN" w:eastAsia="en-IN"/>
              </w:rPr>
              <w:t>Vol.</w:t>
            </w:r>
          </w:p>
        </w:tc>
        <w:tc>
          <w:tcPr>
            <w:tcW w:w="702" w:type="dxa"/>
            <w:vAlign w:val="center"/>
          </w:tcPr>
          <w:p w14:paraId="7E06DB49"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b/>
                <w:sz w:val="18"/>
                <w:szCs w:val="18"/>
                <w:lang w:val="en-IN" w:eastAsia="en-IN"/>
              </w:rPr>
              <w:t>Pg.</w:t>
            </w:r>
          </w:p>
        </w:tc>
        <w:tc>
          <w:tcPr>
            <w:tcW w:w="738" w:type="dxa"/>
            <w:vAlign w:val="center"/>
          </w:tcPr>
          <w:p w14:paraId="681777C7"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b/>
                <w:sz w:val="18"/>
                <w:szCs w:val="18"/>
                <w:lang w:val="en-IN" w:eastAsia="en-IN"/>
              </w:rPr>
              <w:t>Year</w:t>
            </w:r>
          </w:p>
        </w:tc>
      </w:tr>
      <w:tr w:rsidR="0041186A" w:rsidRPr="0041186A" w14:paraId="624A306B" w14:textId="77777777" w:rsidTr="007B18F2">
        <w:trPr>
          <w:jc w:val="center"/>
        </w:trPr>
        <w:tc>
          <w:tcPr>
            <w:tcW w:w="570" w:type="dxa"/>
            <w:vAlign w:val="center"/>
          </w:tcPr>
          <w:p w14:paraId="28757197"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1.</w:t>
            </w:r>
          </w:p>
        </w:tc>
        <w:tc>
          <w:tcPr>
            <w:tcW w:w="1878" w:type="dxa"/>
            <w:vAlign w:val="center"/>
          </w:tcPr>
          <w:p w14:paraId="3C93769D"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proofErr w:type="spellStart"/>
            <w:r w:rsidRPr="0041186A">
              <w:rPr>
                <w:rFonts w:asciiTheme="minorHAnsi" w:eastAsia="Times New Roman" w:hAnsiTheme="minorHAnsi" w:cstheme="minorHAnsi"/>
                <w:b/>
                <w:bCs/>
                <w:sz w:val="18"/>
                <w:szCs w:val="18"/>
                <w:lang w:val="en-IN" w:eastAsia="en-IN"/>
              </w:rPr>
              <w:t>Rutika</w:t>
            </w:r>
            <w:proofErr w:type="spellEnd"/>
            <w:r w:rsidRPr="0041186A">
              <w:rPr>
                <w:rFonts w:asciiTheme="minorHAnsi" w:eastAsia="Times New Roman" w:hAnsiTheme="minorHAnsi" w:cstheme="minorHAnsi"/>
                <w:b/>
                <w:bCs/>
                <w:sz w:val="18"/>
                <w:szCs w:val="18"/>
                <w:lang w:val="en-IN" w:eastAsia="en-IN"/>
              </w:rPr>
              <w:t xml:space="preserve"> Godse</w:t>
            </w:r>
            <w:r w:rsidRPr="0041186A">
              <w:rPr>
                <w:rFonts w:asciiTheme="minorHAnsi" w:eastAsia="Times New Roman" w:hAnsiTheme="minorHAnsi" w:cstheme="minorHAnsi"/>
                <w:sz w:val="18"/>
                <w:szCs w:val="18"/>
                <w:lang w:val="en-IN" w:eastAsia="en-IN"/>
              </w:rPr>
              <w:t xml:space="preserve">, Kavita Singh, Agnivesh Shrivastava, </w:t>
            </w:r>
            <w:proofErr w:type="spellStart"/>
            <w:r w:rsidRPr="0041186A">
              <w:rPr>
                <w:rFonts w:asciiTheme="minorHAnsi" w:eastAsia="Times New Roman" w:hAnsiTheme="minorHAnsi" w:cstheme="minorHAnsi"/>
                <w:sz w:val="18"/>
                <w:szCs w:val="18"/>
                <w:lang w:val="en-IN" w:eastAsia="en-IN"/>
              </w:rPr>
              <w:t>Ujwala</w:t>
            </w:r>
            <w:proofErr w:type="spellEnd"/>
            <w:r w:rsidRPr="0041186A">
              <w:rPr>
                <w:rFonts w:asciiTheme="minorHAnsi" w:eastAsia="Times New Roman" w:hAnsiTheme="minorHAnsi" w:cstheme="minorHAnsi"/>
                <w:sz w:val="18"/>
                <w:szCs w:val="18"/>
                <w:lang w:val="en-IN" w:eastAsia="en-IN"/>
              </w:rPr>
              <w:t xml:space="preserve"> Shinde</w:t>
            </w:r>
          </w:p>
        </w:tc>
        <w:tc>
          <w:tcPr>
            <w:tcW w:w="2790" w:type="dxa"/>
            <w:vAlign w:val="center"/>
          </w:tcPr>
          <w:p w14:paraId="003A26D4"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 w:eastAsia="en-IN"/>
              </w:rPr>
              <w:t>Polymeric Nanoparticulate Systems: A Potential Approach for Ocular Drug Delivery</w:t>
            </w:r>
          </w:p>
        </w:tc>
        <w:tc>
          <w:tcPr>
            <w:tcW w:w="2160" w:type="dxa"/>
            <w:vAlign w:val="center"/>
          </w:tcPr>
          <w:p w14:paraId="51F0328F"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bCs/>
                <w:sz w:val="18"/>
                <w:szCs w:val="18"/>
                <w:lang w:val="en-IN" w:eastAsia="en-IN"/>
              </w:rPr>
              <w:t xml:space="preserve">Nano-Biomaterials </w:t>
            </w:r>
            <w:proofErr w:type="gramStart"/>
            <w:r w:rsidRPr="0041186A">
              <w:rPr>
                <w:rFonts w:asciiTheme="minorHAnsi" w:eastAsia="Times New Roman" w:hAnsiTheme="minorHAnsi" w:cstheme="minorHAnsi"/>
                <w:bCs/>
                <w:sz w:val="18"/>
                <w:szCs w:val="18"/>
                <w:lang w:val="en-IN" w:eastAsia="en-IN"/>
              </w:rPr>
              <w:t>For</w:t>
            </w:r>
            <w:proofErr w:type="gramEnd"/>
            <w:r w:rsidRPr="0041186A">
              <w:rPr>
                <w:rFonts w:asciiTheme="minorHAnsi" w:eastAsia="Times New Roman" w:hAnsiTheme="minorHAnsi" w:cstheme="minorHAnsi"/>
                <w:bCs/>
                <w:sz w:val="18"/>
                <w:szCs w:val="18"/>
                <w:lang w:val="en-IN" w:eastAsia="en-IN"/>
              </w:rPr>
              <w:t xml:space="preserve"> Ophthalmic Drug Delivery</w:t>
            </w:r>
          </w:p>
        </w:tc>
        <w:tc>
          <w:tcPr>
            <w:tcW w:w="720" w:type="dxa"/>
            <w:vAlign w:val="center"/>
          </w:tcPr>
          <w:p w14:paraId="06D083DA"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w:t>
            </w:r>
          </w:p>
        </w:tc>
        <w:tc>
          <w:tcPr>
            <w:tcW w:w="702" w:type="dxa"/>
            <w:vAlign w:val="center"/>
          </w:tcPr>
          <w:p w14:paraId="085EF347"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eastAsia="en-IN"/>
              </w:rPr>
              <w:t>351-387</w:t>
            </w:r>
          </w:p>
        </w:tc>
        <w:tc>
          <w:tcPr>
            <w:tcW w:w="738" w:type="dxa"/>
            <w:vAlign w:val="center"/>
          </w:tcPr>
          <w:p w14:paraId="3DA79D4C"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2016</w:t>
            </w:r>
          </w:p>
        </w:tc>
      </w:tr>
      <w:tr w:rsidR="0041186A" w:rsidRPr="0041186A" w14:paraId="0629C58C" w14:textId="77777777" w:rsidTr="007B18F2">
        <w:trPr>
          <w:jc w:val="center"/>
        </w:trPr>
        <w:tc>
          <w:tcPr>
            <w:tcW w:w="570" w:type="dxa"/>
            <w:vAlign w:val="center"/>
          </w:tcPr>
          <w:p w14:paraId="53306178"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2.</w:t>
            </w:r>
          </w:p>
          <w:p w14:paraId="02182851"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p>
        </w:tc>
        <w:tc>
          <w:tcPr>
            <w:tcW w:w="1878" w:type="dxa"/>
            <w:vAlign w:val="center"/>
          </w:tcPr>
          <w:p w14:paraId="73CF583B"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rPr>
              <w:t xml:space="preserve">Mangesh </w:t>
            </w:r>
            <w:proofErr w:type="spellStart"/>
            <w:r w:rsidRPr="0041186A">
              <w:rPr>
                <w:rFonts w:asciiTheme="minorHAnsi" w:eastAsia="Times New Roman" w:hAnsiTheme="minorHAnsi" w:cstheme="minorHAnsi"/>
                <w:sz w:val="18"/>
                <w:szCs w:val="18"/>
              </w:rPr>
              <w:t>Wasnik</w:t>
            </w:r>
            <w:proofErr w:type="spellEnd"/>
            <w:r w:rsidRPr="0041186A">
              <w:rPr>
                <w:rFonts w:asciiTheme="minorHAnsi" w:eastAsia="Times New Roman" w:hAnsiTheme="minorHAnsi" w:cstheme="minorHAnsi"/>
                <w:sz w:val="18"/>
                <w:szCs w:val="18"/>
              </w:rPr>
              <w:t xml:space="preserve">, </w:t>
            </w:r>
            <w:proofErr w:type="spellStart"/>
            <w:r w:rsidRPr="0041186A">
              <w:rPr>
                <w:rFonts w:asciiTheme="minorHAnsi" w:eastAsia="Times New Roman" w:hAnsiTheme="minorHAnsi" w:cstheme="minorHAnsi"/>
                <w:b/>
                <w:bCs/>
                <w:sz w:val="18"/>
                <w:szCs w:val="18"/>
              </w:rPr>
              <w:t>Rutika</w:t>
            </w:r>
            <w:proofErr w:type="spellEnd"/>
            <w:r w:rsidRPr="0041186A">
              <w:rPr>
                <w:rFonts w:asciiTheme="minorHAnsi" w:eastAsia="Times New Roman" w:hAnsiTheme="minorHAnsi" w:cstheme="minorHAnsi"/>
                <w:b/>
                <w:bCs/>
                <w:sz w:val="18"/>
                <w:szCs w:val="18"/>
              </w:rPr>
              <w:t xml:space="preserve"> Godse</w:t>
            </w:r>
            <w:r w:rsidRPr="0041186A">
              <w:rPr>
                <w:rFonts w:asciiTheme="minorHAnsi" w:eastAsia="Times New Roman" w:hAnsiTheme="minorHAnsi" w:cstheme="minorHAnsi"/>
                <w:sz w:val="18"/>
                <w:szCs w:val="18"/>
              </w:rPr>
              <w:t>, Hema Nair</w:t>
            </w:r>
          </w:p>
        </w:tc>
        <w:tc>
          <w:tcPr>
            <w:tcW w:w="2790" w:type="dxa"/>
            <w:vAlign w:val="center"/>
          </w:tcPr>
          <w:p w14:paraId="7478C119"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rPr>
              <w:t xml:space="preserve">Development and evaluation of </w:t>
            </w:r>
            <w:proofErr w:type="spellStart"/>
            <w:r w:rsidRPr="0041186A">
              <w:rPr>
                <w:rFonts w:asciiTheme="minorHAnsi" w:eastAsia="Times New Roman" w:hAnsiTheme="minorHAnsi" w:cstheme="minorHAnsi"/>
                <w:sz w:val="18"/>
                <w:szCs w:val="18"/>
              </w:rPr>
              <w:t>buccoadhesive</w:t>
            </w:r>
            <w:proofErr w:type="spellEnd"/>
            <w:r w:rsidRPr="0041186A">
              <w:rPr>
                <w:rFonts w:asciiTheme="minorHAnsi" w:eastAsia="Times New Roman" w:hAnsiTheme="minorHAnsi" w:cstheme="minorHAnsi"/>
                <w:sz w:val="18"/>
                <w:szCs w:val="18"/>
              </w:rPr>
              <w:t xml:space="preserve"> tablet for selegiline hydrochloride based on </w:t>
            </w:r>
            <w:proofErr w:type="spellStart"/>
            <w:r w:rsidRPr="0041186A">
              <w:rPr>
                <w:rFonts w:asciiTheme="minorHAnsi" w:eastAsia="Times New Roman" w:hAnsiTheme="minorHAnsi" w:cstheme="minorHAnsi"/>
                <w:sz w:val="18"/>
                <w:szCs w:val="18"/>
              </w:rPr>
              <w:t>thiolated</w:t>
            </w:r>
            <w:proofErr w:type="spellEnd"/>
            <w:r w:rsidRPr="0041186A">
              <w:rPr>
                <w:rFonts w:asciiTheme="minorHAnsi" w:eastAsia="Times New Roman" w:hAnsiTheme="minorHAnsi" w:cstheme="minorHAnsi"/>
                <w:sz w:val="18"/>
                <w:szCs w:val="18"/>
              </w:rPr>
              <w:t xml:space="preserve"> polycarbophil</w:t>
            </w:r>
          </w:p>
        </w:tc>
        <w:tc>
          <w:tcPr>
            <w:tcW w:w="2160" w:type="dxa"/>
            <w:vAlign w:val="center"/>
          </w:tcPr>
          <w:p w14:paraId="5794E1FA" w14:textId="78902F40"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sz w:val="18"/>
                <w:szCs w:val="18"/>
                <w:lang w:val="en-IN" w:eastAsia="en-IN"/>
              </w:rPr>
            </w:pPr>
            <w:r w:rsidRPr="0041186A">
              <w:rPr>
                <w:rFonts w:asciiTheme="minorHAnsi" w:eastAsia="Times New Roman" w:hAnsiTheme="minorHAnsi" w:cstheme="minorHAnsi"/>
                <w:sz w:val="18"/>
                <w:szCs w:val="18"/>
              </w:rPr>
              <w:t>Drug development and industrial pharmacy journal</w:t>
            </w:r>
            <w:r w:rsidR="00D6782C">
              <w:rPr>
                <w:rFonts w:asciiTheme="minorHAnsi" w:eastAsia="Times New Roman" w:hAnsiTheme="minorHAnsi" w:cstheme="minorHAnsi"/>
                <w:sz w:val="18"/>
                <w:szCs w:val="18"/>
              </w:rPr>
              <w:t>.</w:t>
            </w:r>
            <w:r w:rsidRPr="0041186A">
              <w:rPr>
                <w:rFonts w:asciiTheme="minorHAnsi" w:eastAsia="Times New Roman" w:hAnsiTheme="minorHAnsi" w:cstheme="minorHAnsi"/>
                <w:b/>
                <w:sz w:val="18"/>
                <w:szCs w:val="18"/>
                <w:lang w:val="en-IN" w:eastAsia="en-IN"/>
              </w:rPr>
              <w:t xml:space="preserve"> </w:t>
            </w:r>
            <w:r w:rsidRPr="0041186A">
              <w:rPr>
                <w:rFonts w:asciiTheme="minorHAnsi" w:eastAsia="Times New Roman" w:hAnsiTheme="minorHAnsi" w:cstheme="minorHAnsi"/>
                <w:bCs/>
                <w:sz w:val="18"/>
                <w:szCs w:val="18"/>
                <w:lang w:val="en-IN" w:eastAsia="en-IN"/>
              </w:rPr>
              <w:t>Impact Factor: 2.29</w:t>
            </w:r>
          </w:p>
        </w:tc>
        <w:tc>
          <w:tcPr>
            <w:tcW w:w="720" w:type="dxa"/>
            <w:vAlign w:val="center"/>
          </w:tcPr>
          <w:p w14:paraId="05AE2471"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40</w:t>
            </w:r>
          </w:p>
        </w:tc>
        <w:tc>
          <w:tcPr>
            <w:tcW w:w="702" w:type="dxa"/>
            <w:vAlign w:val="center"/>
          </w:tcPr>
          <w:p w14:paraId="04B8B6C1"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color w:val="000000"/>
                <w:sz w:val="18"/>
                <w:szCs w:val="18"/>
                <w:shd w:val="clear" w:color="auto" w:fill="FFFFFF"/>
              </w:rPr>
              <w:t>632-8</w:t>
            </w:r>
          </w:p>
        </w:tc>
        <w:tc>
          <w:tcPr>
            <w:tcW w:w="738" w:type="dxa"/>
            <w:vAlign w:val="center"/>
          </w:tcPr>
          <w:p w14:paraId="3D47CA54"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2014</w:t>
            </w:r>
          </w:p>
        </w:tc>
      </w:tr>
      <w:tr w:rsidR="0041186A" w:rsidRPr="0041186A" w14:paraId="60500205" w14:textId="77777777" w:rsidTr="007B18F2">
        <w:trPr>
          <w:jc w:val="center"/>
        </w:trPr>
        <w:tc>
          <w:tcPr>
            <w:tcW w:w="570" w:type="dxa"/>
            <w:vAlign w:val="center"/>
          </w:tcPr>
          <w:p w14:paraId="0B8C34D9"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3.</w:t>
            </w:r>
          </w:p>
        </w:tc>
        <w:tc>
          <w:tcPr>
            <w:tcW w:w="1878" w:type="dxa"/>
            <w:vAlign w:val="center"/>
          </w:tcPr>
          <w:p w14:paraId="1CD42A06"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proofErr w:type="spellStart"/>
            <w:r w:rsidRPr="0041186A">
              <w:rPr>
                <w:rFonts w:asciiTheme="minorHAnsi" w:eastAsia="Times New Roman" w:hAnsiTheme="minorHAnsi" w:cstheme="minorHAnsi"/>
                <w:b/>
                <w:bCs/>
                <w:sz w:val="18"/>
                <w:szCs w:val="18"/>
              </w:rPr>
              <w:t>Rutika</w:t>
            </w:r>
            <w:proofErr w:type="spellEnd"/>
            <w:r w:rsidRPr="0041186A">
              <w:rPr>
                <w:rFonts w:asciiTheme="minorHAnsi" w:eastAsia="Times New Roman" w:hAnsiTheme="minorHAnsi" w:cstheme="minorHAnsi"/>
                <w:b/>
                <w:bCs/>
                <w:sz w:val="18"/>
                <w:szCs w:val="18"/>
              </w:rPr>
              <w:t xml:space="preserve"> Godse</w:t>
            </w:r>
            <w:r w:rsidRPr="0041186A">
              <w:rPr>
                <w:rFonts w:asciiTheme="minorHAnsi" w:eastAsia="Times New Roman" w:hAnsiTheme="minorHAnsi" w:cstheme="minorHAnsi"/>
                <w:sz w:val="18"/>
                <w:szCs w:val="18"/>
              </w:rPr>
              <w:t xml:space="preserve">, Abhijit De, </w:t>
            </w:r>
            <w:proofErr w:type="spellStart"/>
            <w:r w:rsidRPr="0041186A">
              <w:rPr>
                <w:rFonts w:asciiTheme="minorHAnsi" w:eastAsia="Times New Roman" w:hAnsiTheme="minorHAnsi" w:cstheme="minorHAnsi"/>
                <w:sz w:val="18"/>
                <w:szCs w:val="18"/>
              </w:rPr>
              <w:t>Maitreyi</w:t>
            </w:r>
            <w:proofErr w:type="spellEnd"/>
            <w:r w:rsidRPr="0041186A">
              <w:rPr>
                <w:rFonts w:asciiTheme="minorHAnsi" w:eastAsia="Times New Roman" w:hAnsiTheme="minorHAnsi" w:cstheme="minorHAnsi"/>
                <w:sz w:val="18"/>
                <w:szCs w:val="18"/>
              </w:rPr>
              <w:t xml:space="preserve"> Rathod, </w:t>
            </w:r>
            <w:proofErr w:type="spellStart"/>
            <w:r w:rsidRPr="0041186A">
              <w:rPr>
                <w:rFonts w:asciiTheme="minorHAnsi" w:eastAsia="Times New Roman" w:hAnsiTheme="minorHAnsi" w:cstheme="minorHAnsi"/>
                <w:sz w:val="18"/>
                <w:szCs w:val="18"/>
              </w:rPr>
              <w:t>Ujwala</w:t>
            </w:r>
            <w:proofErr w:type="spellEnd"/>
            <w:r w:rsidRPr="0041186A">
              <w:rPr>
                <w:rFonts w:asciiTheme="minorHAnsi" w:eastAsia="Times New Roman" w:hAnsiTheme="minorHAnsi" w:cstheme="minorHAnsi"/>
                <w:sz w:val="18"/>
                <w:szCs w:val="18"/>
              </w:rPr>
              <w:t xml:space="preserve"> A. Shinde</w:t>
            </w:r>
          </w:p>
        </w:tc>
        <w:tc>
          <w:tcPr>
            <w:tcW w:w="2790" w:type="dxa"/>
            <w:vAlign w:val="center"/>
          </w:tcPr>
          <w:p w14:paraId="125CDCB5"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 w:eastAsia="en-IN"/>
              </w:rPr>
            </w:pPr>
            <w:r w:rsidRPr="0041186A">
              <w:rPr>
                <w:rFonts w:asciiTheme="minorHAnsi" w:eastAsia="Times New Roman" w:hAnsiTheme="minorHAnsi" w:cstheme="minorHAnsi"/>
                <w:sz w:val="18"/>
                <w:szCs w:val="18"/>
                <w:lang w:val="en" w:eastAsia="en-IN"/>
              </w:rPr>
              <w:t>Intravitreal Galactose Conjugated Polymeric Nanoparticles of Etoposide for Retinoblastoma</w:t>
            </w:r>
          </w:p>
        </w:tc>
        <w:tc>
          <w:tcPr>
            <w:tcW w:w="2160" w:type="dxa"/>
            <w:vAlign w:val="center"/>
          </w:tcPr>
          <w:p w14:paraId="0F8BCBE5"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Cs/>
                <w:sz w:val="18"/>
                <w:szCs w:val="18"/>
                <w:lang w:val="en-IN" w:eastAsia="en-IN"/>
              </w:rPr>
            </w:pPr>
            <w:r w:rsidRPr="0041186A">
              <w:rPr>
                <w:rFonts w:asciiTheme="minorHAnsi" w:eastAsia="Times New Roman" w:hAnsiTheme="minorHAnsi" w:cstheme="minorHAnsi"/>
                <w:bCs/>
                <w:sz w:val="18"/>
                <w:szCs w:val="18"/>
                <w:lang w:val="en-IN" w:eastAsia="en-IN"/>
              </w:rPr>
              <w:t>Drug Delivery and Translational Research</w:t>
            </w:r>
          </w:p>
        </w:tc>
        <w:tc>
          <w:tcPr>
            <w:tcW w:w="1422" w:type="dxa"/>
            <w:gridSpan w:val="2"/>
            <w:vAlign w:val="center"/>
          </w:tcPr>
          <w:p w14:paraId="0119D641"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In Communication</w:t>
            </w:r>
          </w:p>
        </w:tc>
        <w:tc>
          <w:tcPr>
            <w:tcW w:w="738" w:type="dxa"/>
            <w:vAlign w:val="center"/>
          </w:tcPr>
          <w:p w14:paraId="573D28B8"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2019</w:t>
            </w:r>
          </w:p>
        </w:tc>
      </w:tr>
      <w:tr w:rsidR="0041186A" w:rsidRPr="0041186A" w14:paraId="05946FCF" w14:textId="77777777" w:rsidTr="007B18F2">
        <w:trPr>
          <w:jc w:val="center"/>
        </w:trPr>
        <w:tc>
          <w:tcPr>
            <w:tcW w:w="570" w:type="dxa"/>
            <w:vAlign w:val="center"/>
          </w:tcPr>
          <w:p w14:paraId="786A63B0"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4.</w:t>
            </w:r>
          </w:p>
        </w:tc>
        <w:tc>
          <w:tcPr>
            <w:tcW w:w="1878" w:type="dxa"/>
            <w:vAlign w:val="center"/>
          </w:tcPr>
          <w:p w14:paraId="247F4A08"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rPr>
            </w:pPr>
            <w:proofErr w:type="spellStart"/>
            <w:r w:rsidRPr="0041186A">
              <w:rPr>
                <w:rFonts w:asciiTheme="minorHAnsi" w:eastAsia="Times New Roman" w:hAnsiTheme="minorHAnsi" w:cstheme="minorHAnsi"/>
                <w:sz w:val="18"/>
                <w:szCs w:val="18"/>
              </w:rPr>
              <w:t>Ujwala</w:t>
            </w:r>
            <w:proofErr w:type="spellEnd"/>
            <w:r w:rsidRPr="0041186A">
              <w:rPr>
                <w:rFonts w:asciiTheme="minorHAnsi" w:eastAsia="Times New Roman" w:hAnsiTheme="minorHAnsi" w:cstheme="minorHAnsi"/>
                <w:sz w:val="18"/>
                <w:szCs w:val="18"/>
              </w:rPr>
              <w:t xml:space="preserve"> A. Shinde, </w:t>
            </w:r>
          </w:p>
          <w:p w14:paraId="4247C862"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
                <w:bCs/>
                <w:sz w:val="18"/>
                <w:szCs w:val="18"/>
              </w:rPr>
            </w:pPr>
            <w:bookmarkStart w:id="0" w:name="_GoBack"/>
            <w:proofErr w:type="spellStart"/>
            <w:r w:rsidRPr="0041186A">
              <w:rPr>
                <w:rFonts w:asciiTheme="minorHAnsi" w:eastAsia="Times New Roman" w:hAnsiTheme="minorHAnsi" w:cstheme="minorHAnsi"/>
                <w:b/>
                <w:bCs/>
                <w:sz w:val="18"/>
                <w:szCs w:val="18"/>
              </w:rPr>
              <w:t>Rutika</w:t>
            </w:r>
            <w:proofErr w:type="spellEnd"/>
            <w:r w:rsidRPr="0041186A">
              <w:rPr>
                <w:rFonts w:asciiTheme="minorHAnsi" w:eastAsia="Times New Roman" w:hAnsiTheme="minorHAnsi" w:cstheme="minorHAnsi"/>
                <w:b/>
                <w:bCs/>
                <w:sz w:val="18"/>
                <w:szCs w:val="18"/>
              </w:rPr>
              <w:t xml:space="preserve"> D. Godse</w:t>
            </w:r>
            <w:bookmarkEnd w:id="0"/>
            <w:r w:rsidRPr="0041186A">
              <w:rPr>
                <w:rFonts w:asciiTheme="minorHAnsi" w:eastAsia="Times New Roman" w:hAnsiTheme="minorHAnsi" w:cstheme="minorHAnsi"/>
                <w:sz w:val="18"/>
                <w:szCs w:val="18"/>
              </w:rPr>
              <w:t xml:space="preserve">, Atul C. </w:t>
            </w:r>
            <w:proofErr w:type="spellStart"/>
            <w:r w:rsidRPr="0041186A">
              <w:rPr>
                <w:rFonts w:asciiTheme="minorHAnsi" w:eastAsia="Times New Roman" w:hAnsiTheme="minorHAnsi" w:cstheme="minorHAnsi"/>
                <w:sz w:val="18"/>
                <w:szCs w:val="18"/>
              </w:rPr>
              <w:t>Chaskar</w:t>
            </w:r>
            <w:proofErr w:type="spellEnd"/>
          </w:p>
        </w:tc>
        <w:tc>
          <w:tcPr>
            <w:tcW w:w="2790" w:type="dxa"/>
            <w:vAlign w:val="center"/>
          </w:tcPr>
          <w:p w14:paraId="56DF2946"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 w:eastAsia="en-IN"/>
              </w:rPr>
            </w:pPr>
            <w:r w:rsidRPr="0041186A">
              <w:rPr>
                <w:rFonts w:asciiTheme="minorHAnsi" w:eastAsia="Times New Roman" w:hAnsiTheme="minorHAnsi" w:cstheme="minorHAnsi"/>
                <w:sz w:val="18"/>
                <w:szCs w:val="18"/>
                <w:lang w:val="en-IN" w:eastAsia="en-IN"/>
              </w:rPr>
              <w:t>Electrohydrodynamic Technique for Fabrication of Chitosan Drug Delivery System</w:t>
            </w:r>
          </w:p>
        </w:tc>
        <w:tc>
          <w:tcPr>
            <w:tcW w:w="2160" w:type="dxa"/>
            <w:vAlign w:val="center"/>
          </w:tcPr>
          <w:p w14:paraId="4A3F3BD2"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bCs/>
                <w:sz w:val="18"/>
                <w:szCs w:val="18"/>
                <w:lang w:val="en-IN" w:eastAsia="en-IN"/>
              </w:rPr>
            </w:pPr>
            <w:r w:rsidRPr="0041186A">
              <w:rPr>
                <w:rFonts w:asciiTheme="minorHAnsi" w:eastAsia="Times New Roman" w:hAnsiTheme="minorHAnsi" w:cstheme="minorHAnsi"/>
                <w:bCs/>
                <w:sz w:val="18"/>
                <w:szCs w:val="18"/>
                <w:lang w:val="en-IN" w:eastAsia="en-IN"/>
              </w:rPr>
              <w:t>AAPS Pharm SciTech</w:t>
            </w:r>
          </w:p>
        </w:tc>
        <w:tc>
          <w:tcPr>
            <w:tcW w:w="1422" w:type="dxa"/>
            <w:gridSpan w:val="2"/>
            <w:vAlign w:val="center"/>
          </w:tcPr>
          <w:p w14:paraId="76E6B583"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In Communication</w:t>
            </w:r>
          </w:p>
        </w:tc>
        <w:tc>
          <w:tcPr>
            <w:tcW w:w="738" w:type="dxa"/>
            <w:vAlign w:val="center"/>
          </w:tcPr>
          <w:p w14:paraId="0BCE54B6" w14:textId="77777777" w:rsidR="0041186A" w:rsidRPr="0041186A" w:rsidRDefault="0041186A" w:rsidP="00423FF1">
            <w:pPr>
              <w:widowControl/>
              <w:autoSpaceDE w:val="0"/>
              <w:autoSpaceDN w:val="0"/>
              <w:adjustRightInd w:val="0"/>
              <w:spacing w:line="276" w:lineRule="auto"/>
              <w:jc w:val="center"/>
              <w:rPr>
                <w:rFonts w:asciiTheme="minorHAnsi" w:eastAsia="Times New Roman" w:hAnsiTheme="minorHAnsi" w:cstheme="minorHAnsi"/>
                <w:sz w:val="18"/>
                <w:szCs w:val="18"/>
                <w:lang w:val="en-IN" w:eastAsia="en-IN"/>
              </w:rPr>
            </w:pPr>
            <w:r w:rsidRPr="0041186A">
              <w:rPr>
                <w:rFonts w:asciiTheme="minorHAnsi" w:eastAsia="Times New Roman" w:hAnsiTheme="minorHAnsi" w:cstheme="minorHAnsi"/>
                <w:sz w:val="18"/>
                <w:szCs w:val="18"/>
                <w:lang w:val="en-IN" w:eastAsia="en-IN"/>
              </w:rPr>
              <w:t>2019</w:t>
            </w:r>
          </w:p>
        </w:tc>
      </w:tr>
    </w:tbl>
    <w:p w14:paraId="02E7B54A" w14:textId="77777777" w:rsidR="0041186A" w:rsidRDefault="0041186A" w:rsidP="00404E5B">
      <w:pPr>
        <w:spacing w:before="92"/>
        <w:ind w:right="4234"/>
        <w:rPr>
          <w:rFonts w:ascii="Arial"/>
        </w:rPr>
      </w:pPr>
    </w:p>
    <w:p w14:paraId="5462D4FE" w14:textId="4824B9A6" w:rsidR="00423FF1" w:rsidRDefault="00423FF1" w:rsidP="00423FF1">
      <w:pPr>
        <w:spacing w:before="41" w:line="360" w:lineRule="auto"/>
        <w:ind w:left="213" w:right="231"/>
        <w:jc w:val="both"/>
        <w:rPr>
          <w:rFonts w:ascii="Calibri"/>
          <w:b/>
          <w:sz w:val="20"/>
        </w:rPr>
      </w:pPr>
      <w:r>
        <w:rPr>
          <w:rFonts w:ascii="Calibri"/>
          <w:b/>
          <w:sz w:val="20"/>
        </w:rPr>
        <w:t xml:space="preserve">        </w:t>
      </w:r>
      <w:r w:rsidRPr="00D62425">
        <w:rPr>
          <w:rFonts w:ascii="Calibri"/>
          <w:b/>
          <w:sz w:val="20"/>
        </w:rPr>
        <w:t>Photograph</w:t>
      </w:r>
    </w:p>
    <w:p w14:paraId="629D08E6" w14:textId="77777777" w:rsidR="00423FF1" w:rsidRDefault="00423FF1" w:rsidP="00423FF1">
      <w:pPr>
        <w:ind w:left="567"/>
        <w:rPr>
          <w:rFonts w:ascii="Arial"/>
          <w:color w:val="BF5A14"/>
        </w:rPr>
      </w:pPr>
      <w:r>
        <w:rPr>
          <w:noProof/>
        </w:rPr>
        <w:drawing>
          <wp:inline distT="0" distB="0" distL="0" distR="0" wp14:anchorId="58FBF712" wp14:editId="25ACC531">
            <wp:extent cx="1409700" cy="191177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2220" cy="1915194"/>
                    </a:xfrm>
                    <a:prstGeom prst="rect">
                      <a:avLst/>
                    </a:prstGeom>
                    <a:noFill/>
                    <a:ln>
                      <a:noFill/>
                    </a:ln>
                  </pic:spPr>
                </pic:pic>
              </a:graphicData>
            </a:graphic>
          </wp:inline>
        </w:drawing>
      </w:r>
      <w:r>
        <w:rPr>
          <w:rFonts w:ascii="Arial"/>
          <w:color w:val="BF5A14"/>
        </w:rPr>
        <w:t xml:space="preserve"> </w:t>
      </w:r>
      <w:r w:rsidRPr="00423FF1">
        <w:t xml:space="preserve"> </w:t>
      </w:r>
    </w:p>
    <w:p w14:paraId="5945BE2B" w14:textId="77777777" w:rsidR="00423FF1" w:rsidRDefault="00423FF1" w:rsidP="00423FF1">
      <w:pPr>
        <w:ind w:left="567"/>
        <w:rPr>
          <w:rFonts w:ascii="Arial"/>
          <w:color w:val="BF5A14"/>
        </w:rPr>
      </w:pPr>
    </w:p>
    <w:p w14:paraId="25EBE64C" w14:textId="77777777" w:rsidR="00423FF1" w:rsidRDefault="00423FF1" w:rsidP="00423FF1">
      <w:pPr>
        <w:ind w:left="567"/>
        <w:rPr>
          <w:rFonts w:ascii="Arial"/>
          <w:color w:val="BF5A14"/>
        </w:rPr>
      </w:pPr>
    </w:p>
    <w:p w14:paraId="30F6BE8A" w14:textId="202605E3" w:rsidR="00423FF1" w:rsidRDefault="00423FF1" w:rsidP="00423FF1">
      <w:pPr>
        <w:rPr>
          <w:rFonts w:ascii="Arial"/>
          <w:color w:val="BF5A14"/>
        </w:rPr>
      </w:pPr>
      <w:r>
        <w:rPr>
          <w:rFonts w:ascii="Arial"/>
          <w:color w:val="BF5A14"/>
        </w:rPr>
        <w:t xml:space="preserve">    </w:t>
      </w:r>
      <w:r w:rsidR="002079F1">
        <w:rPr>
          <w:rFonts w:ascii="Arial"/>
          <w:color w:val="BF5A14"/>
        </w:rPr>
        <w:t xml:space="preserve">Professional </w:t>
      </w:r>
      <w:r>
        <w:rPr>
          <w:rFonts w:ascii="Arial"/>
          <w:color w:val="BF5A14"/>
        </w:rPr>
        <w:t xml:space="preserve">Biography </w:t>
      </w:r>
    </w:p>
    <w:p w14:paraId="31714B9A" w14:textId="48BC3E9B" w:rsidR="002079F1" w:rsidRDefault="002079F1" w:rsidP="00D11272">
      <w:pPr>
        <w:spacing w:before="41" w:line="360" w:lineRule="auto"/>
        <w:ind w:left="213" w:right="231"/>
        <w:jc w:val="both"/>
        <w:rPr>
          <w:rFonts w:ascii="Arial"/>
          <w:sz w:val="14"/>
        </w:rPr>
      </w:pPr>
      <w:proofErr w:type="spellStart"/>
      <w:r w:rsidRPr="002079F1">
        <w:rPr>
          <w:rFonts w:ascii="Arial"/>
          <w:sz w:val="14"/>
        </w:rPr>
        <w:t>Rutika</w:t>
      </w:r>
      <w:proofErr w:type="spellEnd"/>
      <w:r w:rsidRPr="002079F1">
        <w:rPr>
          <w:rFonts w:ascii="Arial"/>
          <w:sz w:val="14"/>
        </w:rPr>
        <w:t xml:space="preserve"> D. Godse pursuing her PhD (age 30 years)</w:t>
      </w:r>
      <w:r w:rsidR="00D11272">
        <w:rPr>
          <w:rFonts w:ascii="Arial"/>
          <w:sz w:val="14"/>
        </w:rPr>
        <w:t xml:space="preserve"> under the guidance of Dr. </w:t>
      </w:r>
      <w:proofErr w:type="spellStart"/>
      <w:r w:rsidR="00D11272">
        <w:rPr>
          <w:rFonts w:ascii="Arial"/>
          <w:sz w:val="14"/>
        </w:rPr>
        <w:t>Ujwala</w:t>
      </w:r>
      <w:proofErr w:type="spellEnd"/>
      <w:r w:rsidR="00D11272">
        <w:rPr>
          <w:rFonts w:ascii="Arial"/>
          <w:sz w:val="14"/>
        </w:rPr>
        <w:t xml:space="preserve"> A. Shinde</w:t>
      </w:r>
      <w:r w:rsidRPr="002079F1">
        <w:rPr>
          <w:rFonts w:ascii="Arial"/>
          <w:sz w:val="14"/>
        </w:rPr>
        <w:t xml:space="preserve"> from Bombay College of Pharmacy (Mumbai University). </w:t>
      </w:r>
      <w:r w:rsidR="00D11272" w:rsidRPr="00D11272">
        <w:rPr>
          <w:rFonts w:ascii="Arial"/>
          <w:sz w:val="14"/>
        </w:rPr>
        <w:t xml:space="preserve">Senior Research Fellow </w:t>
      </w:r>
      <w:r w:rsidR="00D11272">
        <w:rPr>
          <w:rFonts w:ascii="Arial"/>
          <w:sz w:val="14"/>
        </w:rPr>
        <w:t xml:space="preserve">received </w:t>
      </w:r>
      <w:r w:rsidR="00D11272" w:rsidRPr="00D11272">
        <w:rPr>
          <w:rFonts w:ascii="Arial"/>
          <w:sz w:val="14"/>
        </w:rPr>
        <w:t>Fellowship</w:t>
      </w:r>
      <w:r w:rsidR="00D11272">
        <w:rPr>
          <w:rFonts w:ascii="Arial"/>
          <w:sz w:val="14"/>
        </w:rPr>
        <w:t xml:space="preserve"> from </w:t>
      </w:r>
      <w:r w:rsidR="00D11272" w:rsidRPr="00D11272">
        <w:rPr>
          <w:rFonts w:ascii="Arial"/>
          <w:sz w:val="14"/>
        </w:rPr>
        <w:t>Department of Biotechnology - DBT (under Pilot Project Grant for Young Investigators in Cancer Biology)</w:t>
      </w:r>
      <w:r w:rsidR="00D11272">
        <w:rPr>
          <w:rFonts w:ascii="Arial"/>
          <w:sz w:val="14"/>
        </w:rPr>
        <w:t xml:space="preserve">. </w:t>
      </w:r>
      <w:r w:rsidRPr="002079F1">
        <w:rPr>
          <w:rFonts w:ascii="Arial"/>
          <w:sz w:val="14"/>
        </w:rPr>
        <w:t xml:space="preserve">Worked as a research associate in Formulation department in Pharma Company: Rubicon Pvt. Ltd. </w:t>
      </w:r>
      <w:r>
        <w:rPr>
          <w:rFonts w:ascii="Arial"/>
          <w:sz w:val="14"/>
        </w:rPr>
        <w:t>f</w:t>
      </w:r>
      <w:r w:rsidRPr="002079F1">
        <w:rPr>
          <w:rFonts w:ascii="Arial"/>
          <w:sz w:val="14"/>
        </w:rPr>
        <w:t xml:space="preserve">or </w:t>
      </w:r>
      <w:r>
        <w:rPr>
          <w:rFonts w:ascii="Arial"/>
          <w:sz w:val="14"/>
        </w:rPr>
        <w:t>more than a</w:t>
      </w:r>
      <w:r w:rsidRPr="002079F1">
        <w:rPr>
          <w:rFonts w:ascii="Arial"/>
          <w:sz w:val="14"/>
        </w:rPr>
        <w:t xml:space="preserve"> year</w:t>
      </w:r>
      <w:r>
        <w:rPr>
          <w:rFonts w:ascii="Arial"/>
          <w:sz w:val="14"/>
        </w:rPr>
        <w:t>.</w:t>
      </w:r>
      <w:r w:rsidRPr="002079F1">
        <w:rPr>
          <w:rFonts w:ascii="Arial"/>
          <w:sz w:val="14"/>
        </w:rPr>
        <w:t xml:space="preserve"> Completed Bachelor</w:t>
      </w:r>
      <w:r w:rsidRPr="002079F1">
        <w:rPr>
          <w:rFonts w:ascii="Arial"/>
          <w:sz w:val="14"/>
        </w:rPr>
        <w:t>’</w:t>
      </w:r>
      <w:r w:rsidRPr="002079F1">
        <w:rPr>
          <w:rFonts w:ascii="Arial"/>
          <w:sz w:val="14"/>
        </w:rPr>
        <w:t xml:space="preserve">s degree and Master in Pharmaceutics from Bombay College of Pharmacy. </w:t>
      </w:r>
    </w:p>
    <w:p w14:paraId="330D227E" w14:textId="77777777" w:rsidR="002079F1" w:rsidRDefault="002079F1" w:rsidP="001510B9">
      <w:pPr>
        <w:spacing w:before="41" w:line="360" w:lineRule="auto"/>
        <w:ind w:left="213" w:right="231"/>
        <w:jc w:val="both"/>
        <w:rPr>
          <w:rFonts w:ascii="Arial"/>
          <w:sz w:val="14"/>
        </w:rPr>
      </w:pPr>
    </w:p>
    <w:p w14:paraId="389333DD" w14:textId="4AE5593F" w:rsidR="00AE3E37" w:rsidRDefault="00A9710C">
      <w:pPr>
        <w:spacing w:before="62"/>
        <w:ind w:left="4217" w:right="4235"/>
        <w:jc w:val="center"/>
        <w:rPr>
          <w:rFonts w:ascii="Arial"/>
          <w:sz w:val="14"/>
        </w:rPr>
      </w:pPr>
      <w:r>
        <w:rPr>
          <w:rFonts w:ascii="Arial"/>
          <w:sz w:val="14"/>
        </w:rPr>
        <w:t xml:space="preserve">Email: </w:t>
      </w:r>
      <w:r w:rsidR="009E2CC0">
        <w:rPr>
          <w:rFonts w:ascii="Arial"/>
          <w:sz w:val="14"/>
        </w:rPr>
        <w:t>rutika113@gmail.com</w:t>
      </w:r>
    </w:p>
    <w:p w14:paraId="02396F7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A2F2EA6" wp14:editId="5F1D828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8695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075FB53" w14:textId="77777777" w:rsidR="00AE3E37" w:rsidRDefault="00AE3E37">
      <w:pPr>
        <w:pStyle w:val="BodyText"/>
        <w:rPr>
          <w:rFonts w:ascii="Arial"/>
          <w:sz w:val="20"/>
        </w:rPr>
      </w:pPr>
    </w:p>
    <w:p w14:paraId="793789D9" w14:textId="77777777" w:rsidR="00AE3E37" w:rsidRDefault="00AE3E37">
      <w:pPr>
        <w:pStyle w:val="BodyText"/>
        <w:rPr>
          <w:rFonts w:ascii="Arial"/>
          <w:sz w:val="20"/>
        </w:rPr>
      </w:pPr>
    </w:p>
    <w:p w14:paraId="62B053EC" w14:textId="77777777" w:rsidR="00AE3E37" w:rsidRDefault="00AE3E37">
      <w:pPr>
        <w:pStyle w:val="BodyText"/>
        <w:spacing w:before="7"/>
        <w:rPr>
          <w:rFonts w:ascii="Arial"/>
          <w:sz w:val="29"/>
        </w:rPr>
      </w:pPr>
    </w:p>
    <w:p w14:paraId="3EEFCC6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0807A6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FF261" w14:textId="77777777" w:rsidR="004C099F" w:rsidRDefault="004C099F">
      <w:r>
        <w:separator/>
      </w:r>
    </w:p>
  </w:endnote>
  <w:endnote w:type="continuationSeparator" w:id="0">
    <w:p w14:paraId="0FA456E0" w14:textId="77777777" w:rsidR="004C099F" w:rsidRDefault="004C0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0897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A87D2C6" wp14:editId="47ADF38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9B36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94B9C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7D2C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FE9B36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94B9C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763AC8C" wp14:editId="45DF6D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CB0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E57A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3AC8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30CB0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E57A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774A352" wp14:editId="40AA3C4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6B67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2F2380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4A35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9E6B67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2F2380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5E1D2" w14:textId="77777777" w:rsidR="004C099F" w:rsidRDefault="004C099F">
      <w:r>
        <w:separator/>
      </w:r>
    </w:p>
  </w:footnote>
  <w:footnote w:type="continuationSeparator" w:id="0">
    <w:p w14:paraId="51034A60" w14:textId="77777777" w:rsidR="004C099F" w:rsidRDefault="004C0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572D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DDAB2BE" wp14:editId="4A082A5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778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AB2B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DD778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64D4D9B" wp14:editId="4EA712C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6E6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0A5AB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D4D9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746E6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0A5AB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510B9"/>
    <w:rsid w:val="001A1C58"/>
    <w:rsid w:val="001E763C"/>
    <w:rsid w:val="002079F1"/>
    <w:rsid w:val="00292ED9"/>
    <w:rsid w:val="00314AFB"/>
    <w:rsid w:val="00331044"/>
    <w:rsid w:val="003B76D9"/>
    <w:rsid w:val="00404E5B"/>
    <w:rsid w:val="0041186A"/>
    <w:rsid w:val="00414F7B"/>
    <w:rsid w:val="00423FF1"/>
    <w:rsid w:val="004355DC"/>
    <w:rsid w:val="004749B4"/>
    <w:rsid w:val="00494130"/>
    <w:rsid w:val="004C099F"/>
    <w:rsid w:val="004F3523"/>
    <w:rsid w:val="005973B9"/>
    <w:rsid w:val="005B3A56"/>
    <w:rsid w:val="006060CE"/>
    <w:rsid w:val="0063497F"/>
    <w:rsid w:val="0078738A"/>
    <w:rsid w:val="008272DF"/>
    <w:rsid w:val="00873DF0"/>
    <w:rsid w:val="008756E6"/>
    <w:rsid w:val="009B2D44"/>
    <w:rsid w:val="009E2CC0"/>
    <w:rsid w:val="00A07E82"/>
    <w:rsid w:val="00A9710C"/>
    <w:rsid w:val="00AE3E37"/>
    <w:rsid w:val="00B21A57"/>
    <w:rsid w:val="00C33602"/>
    <w:rsid w:val="00CD6F55"/>
    <w:rsid w:val="00D11272"/>
    <w:rsid w:val="00D62425"/>
    <w:rsid w:val="00D6782C"/>
    <w:rsid w:val="00DE3104"/>
    <w:rsid w:val="00EB4C0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6A775"/>
  <w15:docId w15:val="{97276C50-8898-417E-92B9-C7A1DB07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Magicdiamond Trust</cp:lastModifiedBy>
  <cp:revision>11</cp:revision>
  <dcterms:created xsi:type="dcterms:W3CDTF">2019-09-24T17:38:00Z</dcterms:created>
  <dcterms:modified xsi:type="dcterms:W3CDTF">2019-09-24T18:07:00Z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