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BD1" w:rsidRPr="00C74082" w:rsidRDefault="00273C63" w:rsidP="00494130">
      <w:pPr>
        <w:pStyle w:val="Nagwek1"/>
        <w:spacing w:before="170"/>
        <w:ind w:left="0"/>
        <w:rPr>
          <w:color w:val="337AB7"/>
          <w:sz w:val="34"/>
        </w:rPr>
      </w:pPr>
      <w:r w:rsidRPr="00C74082">
        <w:rPr>
          <w:color w:val="337AB7"/>
          <w:sz w:val="34"/>
        </w:rPr>
        <w:t xml:space="preserve">Title: </w:t>
      </w:r>
      <w:r w:rsidR="00957BD1" w:rsidRPr="00C74082">
        <w:rPr>
          <w:color w:val="337AB7"/>
          <w:sz w:val="34"/>
        </w:rPr>
        <w:t xml:space="preserve">Anti-cancer potential </w:t>
      </w:r>
      <w:r w:rsidR="00680AC5" w:rsidRPr="00C74082">
        <w:rPr>
          <w:color w:val="337AB7"/>
          <w:sz w:val="34"/>
        </w:rPr>
        <w:t xml:space="preserve">and mechanism of </w:t>
      </w:r>
      <w:r w:rsidR="006A1760">
        <w:rPr>
          <w:color w:val="337AB7"/>
          <w:sz w:val="34"/>
        </w:rPr>
        <w:t xml:space="preserve">cytotoxicity </w:t>
      </w:r>
      <w:r w:rsidR="00957BD1" w:rsidRPr="00C74082">
        <w:rPr>
          <w:color w:val="337AB7"/>
          <w:sz w:val="34"/>
        </w:rPr>
        <w:t xml:space="preserve">of </w:t>
      </w:r>
      <w:r w:rsidR="006A1760">
        <w:rPr>
          <w:color w:val="337AB7"/>
          <w:sz w:val="34"/>
        </w:rPr>
        <w:t xml:space="preserve">a </w:t>
      </w:r>
      <w:r w:rsidR="006A1760" w:rsidRPr="00C74082">
        <w:rPr>
          <w:color w:val="337AB7"/>
          <w:sz w:val="34"/>
        </w:rPr>
        <w:t xml:space="preserve">new </w:t>
      </w:r>
      <w:r w:rsidR="006A1760">
        <w:rPr>
          <w:color w:val="337AB7"/>
          <w:sz w:val="34"/>
        </w:rPr>
        <w:t>2-aminoimidazoline derivative</w:t>
      </w:r>
      <w:r w:rsidR="00EC4EED">
        <w:rPr>
          <w:color w:val="337AB7"/>
          <w:sz w:val="34"/>
        </w:rPr>
        <w:t xml:space="preserve"> OAT-449</w:t>
      </w:r>
      <w:r w:rsidR="00957BD1" w:rsidRPr="00C74082">
        <w:rPr>
          <w:color w:val="337AB7"/>
          <w:sz w:val="34"/>
        </w:rPr>
        <w:t xml:space="preserve">. </w:t>
      </w:r>
    </w:p>
    <w:p w:rsidR="0089689A" w:rsidRDefault="00957BD1" w:rsidP="002F069D">
      <w:pPr>
        <w:jc w:val="both"/>
        <w:rPr>
          <w:rFonts w:eastAsia="MS PGothic" w:hAnsi="Arial"/>
          <w:color w:val="000000"/>
          <w:sz w:val="20"/>
          <w:lang w:val="pl-PL"/>
        </w:rPr>
      </w:pPr>
      <w:proofErr w:type="spellStart"/>
      <w:r w:rsidRPr="00C74082">
        <w:rPr>
          <w:rFonts w:eastAsia="MS PGothic" w:hAnsi="Arial"/>
          <w:color w:val="000000"/>
          <w:sz w:val="20"/>
          <w:lang w:val="pl-PL"/>
        </w:rPr>
        <w:t>Name</w:t>
      </w:r>
      <w:proofErr w:type="spellEnd"/>
      <w:r w:rsidRPr="00C74082">
        <w:rPr>
          <w:rFonts w:eastAsia="MS PGothic" w:hAnsi="Arial"/>
          <w:color w:val="000000"/>
          <w:sz w:val="20"/>
          <w:lang w:val="pl-PL"/>
        </w:rPr>
        <w:t>: Urszula Wojda</w:t>
      </w:r>
      <w:r w:rsidR="002F069D" w:rsidRPr="0089689A">
        <w:rPr>
          <w:rFonts w:eastAsia="MS PGothic" w:hAnsi="Arial"/>
          <w:color w:val="000000"/>
          <w:sz w:val="20"/>
          <w:vertAlign w:val="superscript"/>
          <w:lang w:val="pl-PL"/>
        </w:rPr>
        <w:t>1</w:t>
      </w:r>
    </w:p>
    <w:p w:rsidR="002F069D" w:rsidRPr="00C74082" w:rsidRDefault="002F069D" w:rsidP="002F069D">
      <w:pPr>
        <w:jc w:val="both"/>
        <w:rPr>
          <w:rFonts w:eastAsia="MS PGothic" w:hAnsi="Arial"/>
          <w:color w:val="000000"/>
          <w:sz w:val="20"/>
          <w:lang w:val="pl-PL"/>
        </w:rPr>
      </w:pPr>
      <w:r w:rsidRPr="00C74082">
        <w:rPr>
          <w:rFonts w:eastAsia="MS PGothic" w:hAnsi="Arial"/>
          <w:color w:val="000000"/>
          <w:sz w:val="16"/>
          <w:szCs w:val="18"/>
          <w:lang w:val="pl-PL"/>
        </w:rPr>
        <w:t xml:space="preserve">and Katarzyna Laskowska-Kaszub1, </w:t>
      </w:r>
      <w:proofErr w:type="spellStart"/>
      <w:r w:rsidRPr="00C74082">
        <w:rPr>
          <w:rFonts w:eastAsia="MS PGothic" w:hAnsi="Arial"/>
          <w:color w:val="000000"/>
          <w:sz w:val="16"/>
          <w:szCs w:val="18"/>
          <w:lang w:val="pl-PL"/>
        </w:rPr>
        <w:t>Mykola</w:t>
      </w:r>
      <w:proofErr w:type="spellEnd"/>
      <w:r w:rsidRPr="00C74082">
        <w:rPr>
          <w:rFonts w:eastAsia="MS PGothic" w:hAnsi="Arial"/>
          <w:color w:val="000000"/>
          <w:sz w:val="16"/>
          <w:szCs w:val="18"/>
          <w:lang w:val="pl-PL"/>
        </w:rPr>
        <w:t xml:space="preserve"> Zdioruk</w:t>
      </w:r>
      <w:r w:rsidRPr="0089689A">
        <w:rPr>
          <w:rFonts w:eastAsia="MS PGothic" w:hAnsi="Arial"/>
          <w:color w:val="000000"/>
          <w:sz w:val="16"/>
          <w:szCs w:val="18"/>
          <w:vertAlign w:val="superscript"/>
          <w:lang w:val="pl-PL"/>
        </w:rPr>
        <w:t>1</w:t>
      </w:r>
      <w:r w:rsidRPr="00C74082">
        <w:rPr>
          <w:rFonts w:eastAsia="MS PGothic" w:hAnsi="Arial"/>
          <w:color w:val="000000"/>
          <w:sz w:val="16"/>
          <w:szCs w:val="18"/>
          <w:lang w:val="pl-PL"/>
        </w:rPr>
        <w:t>, Joanna Wojsiat</w:t>
      </w:r>
      <w:r w:rsidRPr="0089689A">
        <w:rPr>
          <w:rFonts w:eastAsia="MS PGothic" w:hAnsi="Arial"/>
          <w:color w:val="000000"/>
          <w:sz w:val="16"/>
          <w:szCs w:val="18"/>
          <w:vertAlign w:val="superscript"/>
          <w:lang w:val="pl-PL"/>
        </w:rPr>
        <w:t>1</w:t>
      </w:r>
      <w:r w:rsidRPr="00C74082">
        <w:rPr>
          <w:rFonts w:eastAsia="MS PGothic" w:hAnsi="Arial"/>
          <w:color w:val="000000"/>
          <w:sz w:val="16"/>
          <w:szCs w:val="18"/>
          <w:lang w:val="pl-PL"/>
        </w:rPr>
        <w:t>, Anna Mietelska-Porowska</w:t>
      </w:r>
      <w:r w:rsidRPr="0089689A">
        <w:rPr>
          <w:rFonts w:eastAsia="MS PGothic" w:hAnsi="Arial"/>
          <w:color w:val="000000"/>
          <w:sz w:val="16"/>
          <w:szCs w:val="18"/>
          <w:vertAlign w:val="superscript"/>
          <w:lang w:val="pl-PL"/>
        </w:rPr>
        <w:t>1</w:t>
      </w:r>
      <w:r w:rsidRPr="00C74082">
        <w:rPr>
          <w:rFonts w:eastAsia="MS PGothic" w:hAnsi="Arial"/>
          <w:color w:val="000000"/>
          <w:sz w:val="16"/>
          <w:szCs w:val="18"/>
          <w:lang w:val="pl-PL"/>
        </w:rPr>
        <w:t>, Sylwia Olejniczak</w:t>
      </w:r>
      <w:r w:rsidRPr="0089689A">
        <w:rPr>
          <w:rFonts w:eastAsia="MS PGothic" w:hAnsi="Arial"/>
          <w:color w:val="000000"/>
          <w:sz w:val="16"/>
          <w:szCs w:val="18"/>
          <w:vertAlign w:val="superscript"/>
          <w:lang w:val="pl-PL"/>
        </w:rPr>
        <w:t>2</w:t>
      </w:r>
      <w:r w:rsidRPr="00C74082">
        <w:rPr>
          <w:rFonts w:eastAsia="MS PGothic" w:hAnsi="Arial"/>
          <w:color w:val="000000"/>
          <w:sz w:val="16"/>
          <w:szCs w:val="18"/>
          <w:lang w:val="pl-PL"/>
        </w:rPr>
        <w:t>, Stanis</w:t>
      </w:r>
      <w:r w:rsidRPr="00C74082">
        <w:rPr>
          <w:rFonts w:eastAsia="MS PGothic" w:hAnsi="Arial"/>
          <w:color w:val="000000"/>
          <w:sz w:val="16"/>
          <w:szCs w:val="18"/>
          <w:lang w:val="pl-PL"/>
        </w:rPr>
        <w:t>ł</w:t>
      </w:r>
      <w:r w:rsidRPr="00C74082">
        <w:rPr>
          <w:rFonts w:eastAsia="MS PGothic" w:hAnsi="Arial"/>
          <w:color w:val="000000"/>
          <w:sz w:val="16"/>
          <w:szCs w:val="18"/>
          <w:lang w:val="pl-PL"/>
        </w:rPr>
        <w:t>aw Pikul</w:t>
      </w:r>
      <w:r w:rsidRPr="0089689A">
        <w:rPr>
          <w:rFonts w:eastAsia="MS PGothic" w:hAnsi="Arial"/>
          <w:color w:val="000000"/>
          <w:sz w:val="16"/>
          <w:szCs w:val="18"/>
          <w:vertAlign w:val="superscript"/>
          <w:lang w:val="pl-PL"/>
        </w:rPr>
        <w:t>2</w:t>
      </w:r>
      <w:r w:rsidRPr="00C74082">
        <w:rPr>
          <w:rFonts w:eastAsia="MS PGothic" w:hAnsi="Arial"/>
          <w:color w:val="000000"/>
          <w:sz w:val="16"/>
          <w:szCs w:val="18"/>
          <w:lang w:val="pl-PL"/>
        </w:rPr>
        <w:t>, Jakub Golab</w:t>
      </w:r>
      <w:bookmarkStart w:id="0" w:name="_GoBack"/>
      <w:r w:rsidRPr="0089689A">
        <w:rPr>
          <w:rFonts w:eastAsia="MS PGothic" w:hAnsi="Arial"/>
          <w:color w:val="000000"/>
          <w:sz w:val="16"/>
          <w:szCs w:val="18"/>
          <w:vertAlign w:val="superscript"/>
          <w:lang w:val="pl-PL"/>
        </w:rPr>
        <w:t>2</w:t>
      </w:r>
      <w:bookmarkEnd w:id="0"/>
      <w:r w:rsidRPr="00C74082">
        <w:rPr>
          <w:rFonts w:eastAsia="MS PGothic" w:hAnsi="Arial"/>
          <w:color w:val="000000"/>
          <w:sz w:val="20"/>
          <w:lang w:val="pl-PL"/>
        </w:rPr>
        <w:t xml:space="preserve"> </w:t>
      </w:r>
    </w:p>
    <w:p w:rsidR="002F069D" w:rsidRPr="00C74082" w:rsidRDefault="002F069D" w:rsidP="002F069D">
      <w:pPr>
        <w:jc w:val="both"/>
        <w:rPr>
          <w:rFonts w:eastAsia="MS PGothic" w:hAnsi="Arial"/>
          <w:color w:val="000000"/>
          <w:sz w:val="20"/>
        </w:rPr>
      </w:pPr>
      <w:r w:rsidRPr="00C74082">
        <w:rPr>
          <w:rFonts w:eastAsia="MS PGothic" w:hAnsi="Arial"/>
          <w:color w:val="000000"/>
          <w:sz w:val="20"/>
          <w:vertAlign w:val="superscript"/>
        </w:rPr>
        <w:t>1</w:t>
      </w:r>
      <w:r w:rsidRPr="00C74082">
        <w:rPr>
          <w:rFonts w:eastAsia="MS PGothic" w:hAnsi="Arial"/>
          <w:color w:val="000000"/>
          <w:sz w:val="20"/>
        </w:rPr>
        <w:t>Nencki Institute of Experimental Biology, Polish Aca</w:t>
      </w:r>
      <w:r w:rsidR="007C0F1E" w:rsidRPr="00C74082">
        <w:rPr>
          <w:rFonts w:eastAsia="MS PGothic" w:hAnsi="Arial"/>
          <w:color w:val="000000"/>
          <w:sz w:val="20"/>
        </w:rPr>
        <w:t xml:space="preserve">demy of Science and </w:t>
      </w:r>
      <w:r w:rsidRPr="00C74082">
        <w:rPr>
          <w:rFonts w:eastAsia="MS PGothic" w:hAnsi="Arial"/>
          <w:color w:val="000000"/>
          <w:sz w:val="20"/>
          <w:vertAlign w:val="superscript"/>
        </w:rPr>
        <w:t>2</w:t>
      </w:r>
      <w:r w:rsidRPr="00C74082">
        <w:rPr>
          <w:rFonts w:eastAsia="MS PGothic" w:hAnsi="Arial"/>
          <w:color w:val="000000"/>
          <w:sz w:val="20"/>
        </w:rPr>
        <w:t>OncoAren</w:t>
      </w:r>
      <w:r w:rsidR="007C0F1E" w:rsidRPr="00C74082">
        <w:rPr>
          <w:rFonts w:eastAsia="MS PGothic" w:hAnsi="Arial"/>
          <w:color w:val="000000"/>
          <w:sz w:val="20"/>
        </w:rPr>
        <w:t>di Therapeutics, Warsaw, Poland</w:t>
      </w:r>
      <w:r w:rsidRPr="00C74082">
        <w:rPr>
          <w:rFonts w:eastAsia="MS PGothic" w:hAnsi="Arial"/>
          <w:color w:val="000000"/>
          <w:sz w:val="20"/>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C0F1E" w:rsidRDefault="007C0F1E">
      <w:pPr>
        <w:pStyle w:val="Nagwek3"/>
        <w:spacing w:before="147"/>
        <w:jc w:val="both"/>
        <w:rPr>
          <w:color w:val="BF5A14"/>
        </w:rPr>
      </w:pPr>
    </w:p>
    <w:p w:rsidR="00AE3E37" w:rsidRPr="00C74082" w:rsidRDefault="00A9710C">
      <w:pPr>
        <w:pStyle w:val="Nagwek3"/>
        <w:spacing w:before="147"/>
        <w:jc w:val="both"/>
        <w:rPr>
          <w:sz w:val="18"/>
        </w:rPr>
      </w:pPr>
      <w:r w:rsidRPr="00C74082">
        <w:rPr>
          <w:color w:val="BF5A14"/>
          <w:sz w:val="18"/>
        </w:rPr>
        <w:t>Abstract</w:t>
      </w:r>
      <w:r w:rsidR="00404E5B" w:rsidRPr="00C74082">
        <w:rPr>
          <w:color w:val="BF5A14"/>
          <w:sz w:val="18"/>
        </w:rPr>
        <w:t xml:space="preserve"> </w:t>
      </w:r>
    </w:p>
    <w:p w:rsidR="000801BC" w:rsidRDefault="00A9710C" w:rsidP="00A02AF5">
      <w:pPr>
        <w:pStyle w:val="Tekstpodstawowy"/>
        <w:spacing w:line="281" w:lineRule="auto"/>
        <w:ind w:left="102"/>
        <w:jc w:val="both"/>
        <w:rPr>
          <w:sz w:val="16"/>
        </w:rPr>
      </w:pPr>
      <w:r w:rsidRPr="00C74082">
        <w:rPr>
          <w:sz w:val="16"/>
        </w:rPr>
        <w:t xml:space="preserve">Problem: </w:t>
      </w:r>
      <w:r w:rsidR="00DD3A67" w:rsidRPr="00C74082">
        <w:rPr>
          <w:sz w:val="16"/>
        </w:rPr>
        <w:t xml:space="preserve">Despite recent progress in cancer </w:t>
      </w:r>
      <w:r w:rsidR="00A9734D">
        <w:rPr>
          <w:sz w:val="16"/>
        </w:rPr>
        <w:t>treatment using drugs inducing</w:t>
      </w:r>
      <w:r w:rsidR="00DD3A67" w:rsidRPr="00C74082">
        <w:rPr>
          <w:sz w:val="16"/>
        </w:rPr>
        <w:t xml:space="preserve"> tumor cell death through interaction with tubulin, most of them have complex structures and show poor pharmacological properties. Therefore, the search for new therapeutics of improved pharmacological properties and more effective in microtubule-targeting and cytotoxicity to cancer cells remains necessary. The aim of this study was synthesis </w:t>
      </w:r>
      <w:r w:rsidR="00CF4CEC" w:rsidRPr="00C74082">
        <w:rPr>
          <w:sz w:val="16"/>
        </w:rPr>
        <w:t xml:space="preserve">and verification of cytotoxicity </w:t>
      </w:r>
      <w:r w:rsidR="00DD3A67" w:rsidRPr="00C74082">
        <w:rPr>
          <w:sz w:val="16"/>
        </w:rPr>
        <w:t xml:space="preserve">of </w:t>
      </w:r>
      <w:r w:rsidR="00DC7E77" w:rsidRPr="00C74082">
        <w:rPr>
          <w:sz w:val="16"/>
        </w:rPr>
        <w:t xml:space="preserve">a </w:t>
      </w:r>
      <w:r w:rsidR="00DD3A67" w:rsidRPr="00C74082">
        <w:rPr>
          <w:sz w:val="16"/>
        </w:rPr>
        <w:t xml:space="preserve">novel, </w:t>
      </w:r>
      <w:r w:rsidR="00DC7E77" w:rsidRPr="00C74082">
        <w:rPr>
          <w:sz w:val="16"/>
        </w:rPr>
        <w:t>low molecular weight</w:t>
      </w:r>
      <w:r w:rsidR="006A1760">
        <w:rPr>
          <w:sz w:val="16"/>
        </w:rPr>
        <w:t>, water-soluble</w:t>
      </w:r>
      <w:r w:rsidR="00DC7E77" w:rsidRPr="00C74082">
        <w:rPr>
          <w:sz w:val="16"/>
        </w:rPr>
        <w:t xml:space="preserve"> </w:t>
      </w:r>
      <w:r w:rsidR="00D922A9" w:rsidRPr="00D922A9">
        <w:rPr>
          <w:sz w:val="16"/>
        </w:rPr>
        <w:t>2-aminoimidazoline derivative</w:t>
      </w:r>
      <w:r w:rsidR="00D922A9" w:rsidRPr="00C74082">
        <w:rPr>
          <w:sz w:val="16"/>
        </w:rPr>
        <w:t xml:space="preserve"> </w:t>
      </w:r>
      <w:r w:rsidR="00DC7E77" w:rsidRPr="00C74082">
        <w:rPr>
          <w:sz w:val="16"/>
        </w:rPr>
        <w:t>with a relatively simple chemical structure (</w:t>
      </w:r>
      <w:r w:rsidR="00D922A9" w:rsidRPr="00C74082">
        <w:rPr>
          <w:sz w:val="16"/>
        </w:rPr>
        <w:t>OAT-449</w:t>
      </w:r>
      <w:r w:rsidR="00D922A9">
        <w:rPr>
          <w:sz w:val="16"/>
        </w:rPr>
        <w:t>, reference 1</w:t>
      </w:r>
      <w:r w:rsidR="00DC7E77" w:rsidRPr="00C74082">
        <w:rPr>
          <w:sz w:val="16"/>
        </w:rPr>
        <w:t>).</w:t>
      </w:r>
      <w:r w:rsidR="00DD3A67" w:rsidRPr="00C74082">
        <w:rPr>
          <w:sz w:val="16"/>
        </w:rPr>
        <w:t xml:space="preserve"> </w:t>
      </w:r>
      <w:r w:rsidRPr="00C74082">
        <w:rPr>
          <w:sz w:val="16"/>
        </w:rPr>
        <w:t>Methodolog</w:t>
      </w:r>
      <w:r w:rsidR="006B44AF" w:rsidRPr="00C74082">
        <w:rPr>
          <w:sz w:val="16"/>
        </w:rPr>
        <w:t>y</w:t>
      </w:r>
      <w:r w:rsidR="00DD3A67" w:rsidRPr="00C74082">
        <w:rPr>
          <w:sz w:val="16"/>
        </w:rPr>
        <w:t>:</w:t>
      </w:r>
      <w:r w:rsidR="003F74C7" w:rsidRPr="00C74082">
        <w:rPr>
          <w:sz w:val="16"/>
        </w:rPr>
        <w:t xml:space="preserve"> Cytotoxicity of OAT-449 was assessed by MTT assay. Flow cytometry, confocal microscopy and immunoblotting was used to analyze </w:t>
      </w:r>
      <w:r w:rsidR="00D922A9">
        <w:rPr>
          <w:sz w:val="16"/>
        </w:rPr>
        <w:t>cell cycle and cell death in response</w:t>
      </w:r>
      <w:r w:rsidR="003F74C7" w:rsidRPr="00C74082">
        <w:rPr>
          <w:sz w:val="16"/>
        </w:rPr>
        <w:t xml:space="preserve"> to OAT-449 treatment. </w:t>
      </w:r>
      <w:r w:rsidR="00EC6F72">
        <w:rPr>
          <w:sz w:val="16"/>
        </w:rPr>
        <w:t>Findings:</w:t>
      </w:r>
      <w:r w:rsidR="00275063" w:rsidRPr="00C74082">
        <w:rPr>
          <w:sz w:val="16"/>
        </w:rPr>
        <w:t xml:space="preserve"> </w:t>
      </w:r>
      <w:r w:rsidR="00CF4CEC" w:rsidRPr="00C74082">
        <w:rPr>
          <w:sz w:val="16"/>
        </w:rPr>
        <w:t>OAT-449 strongly inhibited polymerization of purified tubulin in vitro and disrupted microtubule for</w:t>
      </w:r>
      <w:r w:rsidR="007E2A11" w:rsidRPr="00C74082">
        <w:rPr>
          <w:sz w:val="16"/>
        </w:rPr>
        <w:t xml:space="preserve">mation in HT-29 human tumor cells. </w:t>
      </w:r>
      <w:r w:rsidR="003F74C7" w:rsidRPr="00C74082">
        <w:rPr>
          <w:sz w:val="16"/>
        </w:rPr>
        <w:t>HT-29 cells treated with OAT arrested at G2/M transition in the cell cycle and revealed increase</w:t>
      </w:r>
      <w:r w:rsidR="00EC6F72">
        <w:rPr>
          <w:sz w:val="16"/>
        </w:rPr>
        <w:t>d</w:t>
      </w:r>
      <w:r w:rsidR="003F74C7" w:rsidRPr="00C74082">
        <w:rPr>
          <w:sz w:val="16"/>
        </w:rPr>
        <w:t xml:space="preserve"> phosphorylation of such mitosis-related proteins as histone H3, aurora and </w:t>
      </w:r>
      <w:proofErr w:type="spellStart"/>
      <w:r w:rsidR="003F74C7" w:rsidRPr="00C74082">
        <w:rPr>
          <w:sz w:val="16"/>
        </w:rPr>
        <w:t>NuMa</w:t>
      </w:r>
      <w:proofErr w:type="spellEnd"/>
      <w:r w:rsidR="003F74C7" w:rsidRPr="00C74082">
        <w:rPr>
          <w:sz w:val="16"/>
        </w:rPr>
        <w:t xml:space="preserve">. Moreover, </w:t>
      </w:r>
      <w:r w:rsidR="00DC7E77" w:rsidRPr="00C74082">
        <w:rPr>
          <w:sz w:val="16"/>
        </w:rPr>
        <w:t>OAT-449 induced</w:t>
      </w:r>
      <w:r w:rsidR="00CF4CEC" w:rsidRPr="00C74082">
        <w:rPr>
          <w:sz w:val="16"/>
        </w:rPr>
        <w:t xml:space="preserve"> cell death through mitotic catastrophe, as well as through apoptosis, with nuclear condensation and DNA fragmentation.</w:t>
      </w:r>
      <w:r w:rsidR="00275063" w:rsidRPr="00C74082">
        <w:rPr>
          <w:sz w:val="16"/>
        </w:rPr>
        <w:t xml:space="preserve"> </w:t>
      </w:r>
      <w:r w:rsidR="003F74C7" w:rsidRPr="00C74082">
        <w:rPr>
          <w:sz w:val="16"/>
        </w:rPr>
        <w:t xml:space="preserve">OAT-449 </w:t>
      </w:r>
      <w:r w:rsidR="00DD3A67" w:rsidRPr="00C74082">
        <w:rPr>
          <w:sz w:val="16"/>
        </w:rPr>
        <w:t xml:space="preserve">induced massive </w:t>
      </w:r>
      <w:r w:rsidR="00275063" w:rsidRPr="00C74082">
        <w:rPr>
          <w:sz w:val="16"/>
        </w:rPr>
        <w:t>cell death</w:t>
      </w:r>
      <w:r w:rsidR="003F74C7" w:rsidRPr="00C74082">
        <w:rPr>
          <w:sz w:val="16"/>
        </w:rPr>
        <w:t xml:space="preserve"> with IC50 values ranging from 6 to 22 </w:t>
      </w:r>
      <w:proofErr w:type="spellStart"/>
      <w:r w:rsidR="003F74C7" w:rsidRPr="00C74082">
        <w:rPr>
          <w:sz w:val="16"/>
        </w:rPr>
        <w:t>nM</w:t>
      </w:r>
      <w:proofErr w:type="spellEnd"/>
      <w:r w:rsidR="003F74C7" w:rsidRPr="00C74082">
        <w:rPr>
          <w:sz w:val="16"/>
        </w:rPr>
        <w:t xml:space="preserve"> </w:t>
      </w:r>
      <w:r w:rsidR="00275063" w:rsidRPr="00C74082">
        <w:rPr>
          <w:sz w:val="16"/>
        </w:rPr>
        <w:t>i</w:t>
      </w:r>
      <w:r w:rsidR="00DD3A67" w:rsidRPr="00C74082">
        <w:rPr>
          <w:sz w:val="16"/>
        </w:rPr>
        <w:t xml:space="preserve">n </w:t>
      </w:r>
      <w:r w:rsidR="00275063" w:rsidRPr="00C74082">
        <w:rPr>
          <w:sz w:val="16"/>
        </w:rPr>
        <w:t xml:space="preserve">8 </w:t>
      </w:r>
      <w:r w:rsidR="00187349" w:rsidRPr="00C74082">
        <w:rPr>
          <w:sz w:val="16"/>
        </w:rPr>
        <w:t xml:space="preserve">different </w:t>
      </w:r>
      <w:r w:rsidR="00DD3A67" w:rsidRPr="00C74082">
        <w:rPr>
          <w:sz w:val="16"/>
        </w:rPr>
        <w:t>cancer cell lines: HT-29, HepG2 (hepatocellular carcinoma), DU145 (prostate carcinoma), Panc-1 (epithelioid carcinoma), SKOV3 (ovary adenocarcinoma), A549 (lung carcinoma), MCF7 (breast adenocarcinoma) and SK-N-MC (</w:t>
      </w:r>
      <w:proofErr w:type="spellStart"/>
      <w:r w:rsidR="00DD3A67" w:rsidRPr="00C74082">
        <w:rPr>
          <w:sz w:val="16"/>
        </w:rPr>
        <w:t>neuroepithelioma</w:t>
      </w:r>
      <w:proofErr w:type="spellEnd"/>
      <w:r w:rsidR="00DD3A67" w:rsidRPr="00C74082">
        <w:rPr>
          <w:sz w:val="16"/>
        </w:rPr>
        <w:t>).</w:t>
      </w:r>
      <w:r w:rsidR="00275063" w:rsidRPr="00C74082">
        <w:rPr>
          <w:sz w:val="16"/>
        </w:rPr>
        <w:t xml:space="preserve"> </w:t>
      </w:r>
      <w:r w:rsidR="00CF4CEC" w:rsidRPr="00C74082">
        <w:rPr>
          <w:sz w:val="16"/>
        </w:rPr>
        <w:t>Comparing</w:t>
      </w:r>
      <w:r w:rsidR="00187349" w:rsidRPr="00C74082">
        <w:rPr>
          <w:sz w:val="16"/>
        </w:rPr>
        <w:t xml:space="preserve"> to a well-known microtubule-targeting agent Vincristine</w:t>
      </w:r>
      <w:r w:rsidR="00CF4CEC" w:rsidRPr="00C74082">
        <w:rPr>
          <w:sz w:val="16"/>
        </w:rPr>
        <w:t xml:space="preserve">, </w:t>
      </w:r>
      <w:r w:rsidR="00DD3A67" w:rsidRPr="00C74082">
        <w:rPr>
          <w:sz w:val="16"/>
        </w:rPr>
        <w:t>O</w:t>
      </w:r>
      <w:r w:rsidR="00A902D5" w:rsidRPr="00C74082">
        <w:rPr>
          <w:sz w:val="16"/>
        </w:rPr>
        <w:t>AT-449</w:t>
      </w:r>
      <w:r w:rsidR="00DD3A67" w:rsidRPr="00C74082">
        <w:rPr>
          <w:sz w:val="16"/>
        </w:rPr>
        <w:t xml:space="preserve"> showed similar or increased cytotoxicity.</w:t>
      </w:r>
      <w:r w:rsidRPr="00C74082">
        <w:rPr>
          <w:sz w:val="16"/>
        </w:rPr>
        <w:t xml:space="preserve"> </w:t>
      </w:r>
      <w:r w:rsidR="00765423" w:rsidRPr="00C74082">
        <w:rPr>
          <w:sz w:val="16"/>
        </w:rPr>
        <w:t xml:space="preserve">Conclusion &amp; Significance: </w:t>
      </w:r>
      <w:r w:rsidR="002F069D" w:rsidRPr="00C74082">
        <w:rPr>
          <w:sz w:val="16"/>
        </w:rPr>
        <w:t>OAT-449</w:t>
      </w:r>
      <w:r w:rsidR="00A02AF5" w:rsidRPr="00C74082">
        <w:rPr>
          <w:sz w:val="16"/>
        </w:rPr>
        <w:t xml:space="preserve"> efficiently </w:t>
      </w:r>
      <w:r w:rsidR="002F069D" w:rsidRPr="00C74082">
        <w:rPr>
          <w:sz w:val="16"/>
        </w:rPr>
        <w:t xml:space="preserve">targets microtubules in different types of cancer cells what results in massive mitotic catastrophe and cell death. </w:t>
      </w:r>
      <w:r w:rsidR="000801BC">
        <w:rPr>
          <w:sz w:val="16"/>
        </w:rPr>
        <w:t>These findings open f</w:t>
      </w:r>
      <w:r w:rsidR="002F069D" w:rsidRPr="00C74082">
        <w:rPr>
          <w:sz w:val="16"/>
        </w:rPr>
        <w:t xml:space="preserve">urther </w:t>
      </w:r>
      <w:r w:rsidR="000801BC">
        <w:rPr>
          <w:sz w:val="16"/>
        </w:rPr>
        <w:t xml:space="preserve">steps of development of </w:t>
      </w:r>
      <w:r w:rsidR="000801BC" w:rsidRPr="00C74082">
        <w:rPr>
          <w:sz w:val="16"/>
        </w:rPr>
        <w:t>OAT-449</w:t>
      </w:r>
      <w:r w:rsidR="000801BC">
        <w:rPr>
          <w:sz w:val="16"/>
        </w:rPr>
        <w:t xml:space="preserve"> as a drug for cancer or other diseases characterized by excessive cell proliferation. </w:t>
      </w:r>
    </w:p>
    <w:p w:rsidR="00AE3E37" w:rsidRPr="00C74082" w:rsidRDefault="00963952" w:rsidP="00A02AF5">
      <w:pPr>
        <w:pStyle w:val="Tekstpodstawowy"/>
        <w:spacing w:line="281" w:lineRule="auto"/>
        <w:ind w:left="102"/>
        <w:jc w:val="both"/>
        <w:rPr>
          <w:sz w:val="16"/>
        </w:rPr>
      </w:pPr>
      <w:r w:rsidRPr="00963952">
        <w:rPr>
          <w:sz w:val="16"/>
        </w:rPr>
        <w:t>This research was supported by the National Centre for Research and Development (NCBR) grant POIG.01.03.01-14-094/12.</w:t>
      </w:r>
    </w:p>
    <w:p w:rsidR="007C0F1E" w:rsidRDefault="00A9710C">
      <w:pPr>
        <w:pStyle w:val="Nagwek3"/>
        <w:spacing w:before="74"/>
        <w:rPr>
          <w:b w:val="0"/>
        </w:rPr>
      </w:pPr>
      <w:r>
        <w:rPr>
          <w:b w:val="0"/>
        </w:rPr>
        <w:br w:type="column"/>
      </w:r>
    </w:p>
    <w:p w:rsidR="00AE3E37" w:rsidRDefault="00A9710C">
      <w:pPr>
        <w:pStyle w:val="Nagwek3"/>
        <w:spacing w:before="74"/>
      </w:pPr>
      <w:r>
        <w:rPr>
          <w:color w:val="BF5A14"/>
        </w:rPr>
        <w:t>Image</w:t>
      </w:r>
    </w:p>
    <w:p w:rsidR="00765423" w:rsidRPr="003B1BF4" w:rsidRDefault="00963952" w:rsidP="003B1BF4">
      <w:pPr>
        <w:pStyle w:val="Tekstpodstawowy"/>
        <w:spacing w:before="2"/>
        <w:rPr>
          <w:rFonts w:ascii="Arial"/>
          <w:b/>
          <w:sz w:val="16"/>
        </w:rPr>
      </w:pPr>
      <w:r>
        <w:rPr>
          <w:rFonts w:ascii="Arial"/>
          <w:b/>
          <w:noProof/>
          <w:sz w:val="16"/>
          <w:lang w:val="pl-PL" w:eastAsia="pl-PL"/>
        </w:rPr>
        <w:drawing>
          <wp:inline distT="0" distB="0" distL="0" distR="0">
            <wp:extent cx="3307080" cy="2192020"/>
            <wp:effectExtent l="0" t="0" r="7620" b="0"/>
            <wp:docPr id="1" name="Obraz 1"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7"/>
                    <pic:cNvPicPr>
                      <a:picLocks noChangeAspect="1" noChangeArrowheads="1"/>
                    </pic:cNvPicPr>
                  </pic:nvPicPr>
                  <pic:blipFill>
                    <a:blip r:embed="rId9" cstate="print">
                      <a:extLst>
                        <a:ext uri="{28A0092B-C50C-407E-A947-70E740481C1C}">
                          <a14:useLocalDpi xmlns:a14="http://schemas.microsoft.com/office/drawing/2010/main" val="0"/>
                        </a:ext>
                      </a:extLst>
                    </a:blip>
                    <a:srcRect l="5666" t="9235" r="5043" b="11758"/>
                    <a:stretch>
                      <a:fillRect/>
                    </a:stretch>
                  </pic:blipFill>
                  <pic:spPr bwMode="auto">
                    <a:xfrm>
                      <a:off x="0" y="0"/>
                      <a:ext cx="3307080" cy="2192020"/>
                    </a:xfrm>
                    <a:prstGeom prst="rect">
                      <a:avLst/>
                    </a:prstGeom>
                    <a:noFill/>
                    <a:ln>
                      <a:noFill/>
                    </a:ln>
                  </pic:spPr>
                </pic:pic>
              </a:graphicData>
            </a:graphic>
          </wp:inline>
        </w:drawing>
      </w:r>
    </w:p>
    <w:p w:rsidR="003B1BF4" w:rsidRDefault="0089689A" w:rsidP="005973B9">
      <w:pPr>
        <w:spacing w:line="204" w:lineRule="exact"/>
        <w:rPr>
          <w:rFonts w:asciiTheme="minorHAnsi" w:hAnsiTheme="minorHAnsi"/>
          <w:sz w:val="18"/>
          <w:szCs w:val="18"/>
        </w:rPr>
      </w:pPr>
      <w:r>
        <w:rPr>
          <w:rFonts w:asciiTheme="minorHAnsi" w:hAnsiTheme="minorHAnsi"/>
          <w:sz w:val="18"/>
          <w:szCs w:val="18"/>
        </w:rPr>
        <w:t xml:space="preserve">Mechanism of </w:t>
      </w:r>
      <w:r>
        <w:rPr>
          <w:rFonts w:asciiTheme="minorHAnsi" w:hAnsiTheme="minorHAnsi"/>
          <w:sz w:val="18"/>
          <w:szCs w:val="18"/>
        </w:rPr>
        <w:t>OAT-449</w:t>
      </w:r>
      <w:r>
        <w:rPr>
          <w:rFonts w:asciiTheme="minorHAnsi" w:hAnsiTheme="minorHAnsi"/>
          <w:sz w:val="18"/>
          <w:szCs w:val="18"/>
        </w:rPr>
        <w:t xml:space="preserve"> cytotoxicity</w:t>
      </w:r>
      <w:r w:rsidR="003B1BF4">
        <w:rPr>
          <w:rFonts w:asciiTheme="minorHAnsi" w:hAnsiTheme="minorHAnsi"/>
          <w:sz w:val="18"/>
          <w:szCs w:val="18"/>
        </w:rPr>
        <w:t>.</w:t>
      </w:r>
    </w:p>
    <w:p w:rsidR="005973B9" w:rsidRDefault="005973B9" w:rsidP="005973B9">
      <w:pPr>
        <w:spacing w:line="204" w:lineRule="exact"/>
        <w:rPr>
          <w:rFonts w:ascii="Arial"/>
          <w:b/>
          <w:sz w:val="20"/>
        </w:rPr>
      </w:pPr>
      <w:r>
        <w:rPr>
          <w:rFonts w:ascii="Arial"/>
          <w:b/>
          <w:color w:val="BF5A14"/>
          <w:sz w:val="20"/>
        </w:rPr>
        <w:br/>
        <w:t>Recent Publications</w:t>
      </w:r>
    </w:p>
    <w:p w:rsidR="006A1760" w:rsidRDefault="006A1760" w:rsidP="006B7113">
      <w:pPr>
        <w:pStyle w:val="Akapitzlist"/>
        <w:numPr>
          <w:ilvl w:val="0"/>
          <w:numId w:val="3"/>
        </w:numPr>
        <w:tabs>
          <w:tab w:val="left" w:pos="384"/>
        </w:tabs>
        <w:spacing w:before="103" w:line="216" w:lineRule="exact"/>
        <w:ind w:right="138" w:hanging="283"/>
        <w:rPr>
          <w:sz w:val="18"/>
          <w:szCs w:val="18"/>
        </w:rPr>
      </w:pPr>
      <w:r w:rsidRPr="006A1760">
        <w:rPr>
          <w:sz w:val="18"/>
          <w:szCs w:val="18"/>
        </w:rPr>
        <w:t>Un</w:t>
      </w:r>
      <w:r>
        <w:rPr>
          <w:sz w:val="18"/>
          <w:szCs w:val="18"/>
        </w:rPr>
        <w:t>i</w:t>
      </w:r>
      <w:r w:rsidRPr="006A1760">
        <w:rPr>
          <w:sz w:val="18"/>
          <w:szCs w:val="18"/>
        </w:rPr>
        <w:t xml:space="preserve">ted States </w:t>
      </w:r>
      <w:r w:rsidR="00D00D11" w:rsidRPr="006A1760">
        <w:rPr>
          <w:sz w:val="18"/>
          <w:szCs w:val="18"/>
        </w:rPr>
        <w:t xml:space="preserve">Patent </w:t>
      </w:r>
      <w:r w:rsidRPr="006A1760">
        <w:rPr>
          <w:sz w:val="18"/>
          <w:szCs w:val="18"/>
        </w:rPr>
        <w:t xml:space="preserve">No. </w:t>
      </w:r>
      <w:r>
        <w:rPr>
          <w:sz w:val="18"/>
          <w:szCs w:val="18"/>
        </w:rPr>
        <w:t xml:space="preserve">US 8,981,114 B2 and No. </w:t>
      </w:r>
      <w:r w:rsidRPr="006A1760">
        <w:rPr>
          <w:sz w:val="18"/>
          <w:szCs w:val="18"/>
        </w:rPr>
        <w:t>US 9,095,575 B2</w:t>
      </w:r>
      <w:r>
        <w:rPr>
          <w:sz w:val="18"/>
          <w:szCs w:val="18"/>
        </w:rPr>
        <w:t xml:space="preserve">, </w:t>
      </w:r>
      <w:proofErr w:type="spellStart"/>
      <w:r>
        <w:rPr>
          <w:sz w:val="18"/>
          <w:szCs w:val="18"/>
        </w:rPr>
        <w:t>Pikul</w:t>
      </w:r>
      <w:proofErr w:type="spellEnd"/>
      <w:r>
        <w:rPr>
          <w:sz w:val="18"/>
          <w:szCs w:val="18"/>
        </w:rPr>
        <w:t xml:space="preserve"> et al. Derivatives of 1-(substituted sulfonyl)-2-aminoimidazoline as antitumor and </w:t>
      </w:r>
      <w:proofErr w:type="spellStart"/>
      <w:r>
        <w:rPr>
          <w:sz w:val="18"/>
          <w:szCs w:val="18"/>
        </w:rPr>
        <w:t>antiproliferative</w:t>
      </w:r>
      <w:proofErr w:type="spellEnd"/>
      <w:r>
        <w:rPr>
          <w:sz w:val="18"/>
          <w:szCs w:val="18"/>
        </w:rPr>
        <w:t xml:space="preserve"> agents.</w:t>
      </w:r>
    </w:p>
    <w:p w:rsidR="00765423" w:rsidRPr="006A1760" w:rsidRDefault="00765423" w:rsidP="006B7113">
      <w:pPr>
        <w:pStyle w:val="Akapitzlist"/>
        <w:numPr>
          <w:ilvl w:val="0"/>
          <w:numId w:val="3"/>
        </w:numPr>
        <w:tabs>
          <w:tab w:val="left" w:pos="384"/>
        </w:tabs>
        <w:spacing w:before="103" w:line="216" w:lineRule="exact"/>
        <w:ind w:right="138" w:hanging="283"/>
        <w:rPr>
          <w:sz w:val="18"/>
          <w:szCs w:val="18"/>
        </w:rPr>
      </w:pPr>
      <w:proofErr w:type="spellStart"/>
      <w:r w:rsidRPr="00EC6F72">
        <w:rPr>
          <w:sz w:val="18"/>
          <w:szCs w:val="18"/>
        </w:rPr>
        <w:t>Czystowska-Kuz</w:t>
      </w:r>
      <w:r w:rsidR="00EC6F72" w:rsidRPr="00EC6F72">
        <w:rPr>
          <w:sz w:val="18"/>
          <w:szCs w:val="18"/>
        </w:rPr>
        <w:t>micz</w:t>
      </w:r>
      <w:proofErr w:type="spellEnd"/>
      <w:r w:rsidR="00EC6F72" w:rsidRPr="00EC6F72">
        <w:rPr>
          <w:sz w:val="18"/>
          <w:szCs w:val="18"/>
        </w:rPr>
        <w:t xml:space="preserve"> M, </w:t>
      </w:r>
      <w:r w:rsidR="00EC6F72">
        <w:rPr>
          <w:sz w:val="18"/>
          <w:szCs w:val="18"/>
        </w:rPr>
        <w:t>(…)</w:t>
      </w:r>
      <w:r w:rsidR="00EC6F72" w:rsidRPr="00EC6F72">
        <w:rPr>
          <w:sz w:val="18"/>
          <w:szCs w:val="18"/>
        </w:rPr>
        <w:t xml:space="preserve"> </w:t>
      </w:r>
      <w:r w:rsidRPr="006A1760">
        <w:rPr>
          <w:sz w:val="18"/>
          <w:szCs w:val="18"/>
        </w:rPr>
        <w:t xml:space="preserve">and </w:t>
      </w:r>
      <w:proofErr w:type="spellStart"/>
      <w:r w:rsidRPr="006A1760">
        <w:rPr>
          <w:sz w:val="18"/>
          <w:szCs w:val="18"/>
          <w:u w:val="single"/>
        </w:rPr>
        <w:t>Golab</w:t>
      </w:r>
      <w:proofErr w:type="spellEnd"/>
      <w:r w:rsidRPr="006A1760">
        <w:rPr>
          <w:sz w:val="18"/>
          <w:szCs w:val="18"/>
          <w:u w:val="single"/>
        </w:rPr>
        <w:t xml:space="preserve"> J</w:t>
      </w:r>
      <w:r w:rsidRPr="006A1760">
        <w:rPr>
          <w:sz w:val="18"/>
          <w:szCs w:val="18"/>
        </w:rPr>
        <w:t xml:space="preserve">. Small extracellular vesicles containing arginase-1 suppress T-cell responses and promote tumor growth in ovarian carcinoma. Nat </w:t>
      </w:r>
      <w:proofErr w:type="spellStart"/>
      <w:r w:rsidRPr="006A1760">
        <w:rPr>
          <w:sz w:val="18"/>
          <w:szCs w:val="18"/>
        </w:rPr>
        <w:t>Commun</w:t>
      </w:r>
      <w:proofErr w:type="spellEnd"/>
      <w:r w:rsidRPr="006A1760">
        <w:rPr>
          <w:sz w:val="18"/>
          <w:szCs w:val="18"/>
        </w:rPr>
        <w:t>. 2019 Jul 5;10(1):3000.</w:t>
      </w:r>
    </w:p>
    <w:p w:rsidR="00C82A67" w:rsidRPr="00765423" w:rsidRDefault="00C82A67" w:rsidP="00765423">
      <w:pPr>
        <w:pStyle w:val="Akapitzlist"/>
        <w:numPr>
          <w:ilvl w:val="0"/>
          <w:numId w:val="3"/>
        </w:numPr>
        <w:tabs>
          <w:tab w:val="left" w:pos="384"/>
        </w:tabs>
        <w:spacing w:before="103" w:line="216" w:lineRule="exact"/>
        <w:ind w:right="138" w:hanging="283"/>
        <w:rPr>
          <w:sz w:val="18"/>
          <w:szCs w:val="18"/>
        </w:rPr>
      </w:pPr>
      <w:r w:rsidRPr="00765423">
        <w:rPr>
          <w:sz w:val="18"/>
          <w:szCs w:val="18"/>
        </w:rPr>
        <w:t xml:space="preserve">Nagaraj S, </w:t>
      </w:r>
      <w:proofErr w:type="spellStart"/>
      <w:r w:rsidRPr="00765423">
        <w:rPr>
          <w:sz w:val="18"/>
          <w:szCs w:val="18"/>
        </w:rPr>
        <w:t>Zoltowska</w:t>
      </w:r>
      <w:proofErr w:type="spellEnd"/>
      <w:r w:rsidRPr="00765423">
        <w:rPr>
          <w:sz w:val="18"/>
          <w:szCs w:val="18"/>
        </w:rPr>
        <w:t xml:space="preserve"> KM, </w:t>
      </w:r>
      <w:proofErr w:type="spellStart"/>
      <w:r w:rsidRPr="00765423">
        <w:rPr>
          <w:sz w:val="18"/>
          <w:szCs w:val="18"/>
        </w:rPr>
        <w:t>Laskowska-Kaszub</w:t>
      </w:r>
      <w:proofErr w:type="spellEnd"/>
      <w:r w:rsidRPr="00765423">
        <w:rPr>
          <w:sz w:val="18"/>
          <w:szCs w:val="18"/>
        </w:rPr>
        <w:t xml:space="preserve"> K, </w:t>
      </w:r>
      <w:proofErr w:type="spellStart"/>
      <w:r w:rsidRPr="00765423">
        <w:rPr>
          <w:sz w:val="18"/>
          <w:szCs w:val="18"/>
          <w:u w:val="single"/>
        </w:rPr>
        <w:t>Wojda</w:t>
      </w:r>
      <w:proofErr w:type="spellEnd"/>
      <w:r w:rsidRPr="00765423">
        <w:rPr>
          <w:sz w:val="18"/>
          <w:szCs w:val="18"/>
          <w:u w:val="single"/>
        </w:rPr>
        <w:t xml:space="preserve"> U</w:t>
      </w:r>
      <w:r w:rsidRPr="00765423">
        <w:rPr>
          <w:sz w:val="18"/>
          <w:szCs w:val="18"/>
        </w:rPr>
        <w:t xml:space="preserve">. microRNA diagnostic panel for Alzheimer's disease and epigenetic trade-off between neurodegeneration and cancer. Ageing Res Rev. 2019 49:125-143. </w:t>
      </w:r>
    </w:p>
    <w:p w:rsidR="00C82A67" w:rsidRPr="008756E6" w:rsidRDefault="00C82A67" w:rsidP="00C82A67">
      <w:pPr>
        <w:pStyle w:val="Akapitzlist"/>
        <w:tabs>
          <w:tab w:val="left" w:pos="384"/>
        </w:tabs>
        <w:spacing w:line="216" w:lineRule="exact"/>
        <w:ind w:right="117" w:firstLine="0"/>
      </w:pPr>
    </w:p>
    <w:p w:rsidR="00AE3E37" w:rsidRDefault="00963952">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963952">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3175" r="444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5"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06E8A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BNijhmeQIAAHs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YHjsMAAADaAAAADwAAAGRycy9kb3ducmV2LnhtbESPQUsDMRSE7wX/Q3hCb21SqUW2TUtV&#10;RMVTqz309ti8bpYmL2sSt+u/N4LgcZiZb5jVZvBO9BRTG1jDbKpAENfBtNxo+Hh/mtyBSBnZoAtM&#10;Gr4pwWZ9NVphZcKFd9TvcyMKhFOFGmzOXSVlqi15TNPQERfvFKLHXGRspIl4KXDv5I1SC+mx5bJg&#10;saMHS/V5/+U1qN3nwqpH93ru73N/fHZv80MbtR5fD9sliExD/g//tV+Mhlv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mB47DAAAA2gAAAA8AAAAAAAAAAAAA&#10;AAAAoQIAAGRycy9kb3ducmV2LnhtbFBLBQYAAAAABAAEAPkAAACRAwAAAAA=&#10;" strokecolor="#004080" strokeweight="2pt"/>
                <w10:anchorlock/>
              </v:group>
            </w:pict>
          </mc:Fallback>
        </mc:AlternateContent>
      </w:r>
    </w:p>
    <w:p w:rsidR="006B44AF" w:rsidRDefault="00963952" w:rsidP="006B44AF">
      <w:pPr>
        <w:keepNext/>
      </w:pPr>
      <w:r>
        <w:rPr>
          <w:noProof/>
          <w:lang w:val="pl-PL" w:eastAsia="pl-PL"/>
        </w:rPr>
        <mc:AlternateContent>
          <mc:Choice Requires="wps">
            <w:drawing>
              <wp:anchor distT="0" distB="0" distL="114300" distR="114300" simplePos="0" relativeHeight="251659264" behindDoc="0" locked="0" layoutInCell="1" allowOverlap="1">
                <wp:simplePos x="0" y="0"/>
                <wp:positionH relativeFrom="column">
                  <wp:posOffset>3892550</wp:posOffset>
                </wp:positionH>
                <wp:positionV relativeFrom="paragraph">
                  <wp:posOffset>59055</wp:posOffset>
                </wp:positionV>
                <wp:extent cx="1979930" cy="723900"/>
                <wp:effectExtent l="19050" t="19050" r="20320"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7239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3B1BF4" w:rsidP="006B44AF">
                            <w:pPr>
                              <w:pStyle w:val="Bezodstpw"/>
                              <w:rPr>
                                <w:rFonts w:ascii="Times New Roman" w:hAnsi="Times New Roman" w:cs="Times New Roman"/>
                                <w:sz w:val="20"/>
                                <w:szCs w:val="20"/>
                              </w:rPr>
                            </w:pPr>
                            <w:r>
                              <w:rPr>
                                <w:noProof/>
                                <w:lang w:val="pl-PL" w:eastAsia="pl-PL"/>
                              </w:rPr>
                              <w:drawing>
                                <wp:inline distT="0" distB="0" distL="0" distR="0">
                                  <wp:extent cx="1714500" cy="562438"/>
                                  <wp:effectExtent l="0" t="0" r="0" b="0"/>
                                  <wp:docPr id="13" name="Obraz 13" descr="Image result for nenck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nencki logo"/>
                                          <pic:cNvPicPr>
                                            <a:picLocks noChangeAspect="1" noChangeArrowheads="1"/>
                                          </pic:cNvPicPr>
                                        </pic:nvPicPr>
                                        <pic:blipFill>
                                          <a:blip r:embed="rId10"/>
                                          <a:srcRect/>
                                          <a:stretch>
                                            <a:fillRect/>
                                          </a:stretch>
                                        </pic:blipFill>
                                        <pic:spPr bwMode="auto">
                                          <a:xfrm>
                                            <a:off x="0" y="0"/>
                                            <a:ext cx="1722664" cy="56511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06.5pt;margin-top:4.65pt;width:155.9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" strokecolor="#9bbb59" strokeweight="2.5pt">
                <v:shadow color="#868686"/>
                <v:textbox>
                  <w:txbxContent>
                    <w:p w:rsidR="006B44AF" w:rsidRPr="006B44AF" w:rsidRDefault="003B1BF4" w:rsidP="006B44AF">
                      <w:pPr>
                        <w:pStyle w:val="Bezodstpw"/>
                        <w:rPr>
                          <w:rFonts w:ascii="Times New Roman" w:hAnsi="Times New Roman" w:cs="Times New Roman"/>
                          <w:sz w:val="20"/>
                          <w:szCs w:val="20"/>
                        </w:rPr>
                      </w:pPr>
                      <w:r>
                        <w:rPr>
                          <w:noProof/>
                          <w:lang w:val="pl-PL" w:eastAsia="pl-PL"/>
                        </w:rPr>
                        <w:drawing>
                          <wp:inline distT="0" distB="0" distL="0" distR="0">
                            <wp:extent cx="1714500" cy="562438"/>
                            <wp:effectExtent l="0" t="0" r="0" b="0"/>
                            <wp:docPr id="13" name="Obraz 13" descr="Image result for nenck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nencki logo"/>
                                    <pic:cNvPicPr>
                                      <a:picLocks noChangeAspect="1" noChangeArrowheads="1"/>
                                    </pic:cNvPicPr>
                                  </pic:nvPicPr>
                                  <pic:blipFill>
                                    <a:blip r:embed="rId11"/>
                                    <a:srcRect/>
                                    <a:stretch>
                                      <a:fillRect/>
                                    </a:stretch>
                                  </pic:blipFill>
                                  <pic:spPr bwMode="auto">
                                    <a:xfrm>
                                      <a:off x="0" y="0"/>
                                      <a:ext cx="1722664" cy="565116"/>
                                    </a:xfrm>
                                    <a:prstGeom prst="rect">
                                      <a:avLst/>
                                    </a:prstGeom>
                                    <a:noFill/>
                                    <a:ln w="9525">
                                      <a:noFill/>
                                      <a:miter lim="800000"/>
                                      <a:headEnd/>
                                      <a:tailEnd/>
                                    </a:ln>
                                  </pic:spPr>
                                </pic:pic>
                              </a:graphicData>
                            </a:graphic>
                          </wp:inline>
                        </w:drawing>
                      </w:r>
                    </w:p>
                  </w:txbxContent>
                </v:textbox>
              </v:roundrect>
            </w:pict>
          </mc:Fallback>
        </mc:AlternateContent>
      </w:r>
      <w:r w:rsidR="008756E6">
        <w:rPr>
          <w:noProof/>
        </w:rPr>
        <w:t xml:space="preserve">    </w:t>
      </w:r>
      <w:r w:rsidR="00D00D11">
        <w:rPr>
          <w:rFonts w:ascii="Times New Roman" w:hAnsi="Times New Roman" w:cs="Times New Roman"/>
          <w:bCs/>
          <w:noProof/>
          <w:sz w:val="24"/>
          <w:szCs w:val="24"/>
          <w:lang w:val="pl-PL" w:eastAsia="pl-PL"/>
        </w:rPr>
        <w:drawing>
          <wp:inline distT="0" distB="0" distL="0" distR="0">
            <wp:extent cx="731520" cy="703773"/>
            <wp:effectExtent l="0" t="0" r="0"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707" cy="742436"/>
                    </a:xfrm>
                    <a:prstGeom prst="rect">
                      <a:avLst/>
                    </a:prstGeom>
                    <a:noFill/>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E126D2" w:rsidRDefault="00A9710C" w:rsidP="006B44AF">
      <w:pPr>
        <w:spacing w:before="92"/>
        <w:ind w:right="4234"/>
        <w:rPr>
          <w:noProof/>
          <w:lang w:val="en-IN" w:eastAsia="en-IN"/>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E126D2" w:rsidRPr="007C0F1E" w:rsidRDefault="00E126D2" w:rsidP="00E126D2">
      <w:pPr>
        <w:jc w:val="both"/>
        <w:rPr>
          <w:rFonts w:ascii="Arial" w:eastAsiaTheme="minorEastAsia" w:hAnsi="Arial" w:cs="Arial"/>
          <w:sz w:val="14"/>
          <w:szCs w:val="14"/>
        </w:rPr>
      </w:pPr>
      <w:proofErr w:type="spellStart"/>
      <w:r w:rsidRPr="007C0F1E">
        <w:rPr>
          <w:rFonts w:ascii="Arial" w:eastAsiaTheme="minorEastAsia" w:hAnsi="Arial" w:cs="Arial"/>
          <w:sz w:val="14"/>
          <w:szCs w:val="14"/>
        </w:rPr>
        <w:t>Urszula</w:t>
      </w:r>
      <w:proofErr w:type="spellEnd"/>
      <w:r w:rsidRPr="007C0F1E">
        <w:rPr>
          <w:rFonts w:ascii="Arial" w:eastAsiaTheme="minorEastAsia" w:hAnsi="Arial" w:cs="Arial"/>
          <w:sz w:val="14"/>
          <w:szCs w:val="14"/>
        </w:rPr>
        <w:t xml:space="preserve"> </w:t>
      </w:r>
      <w:proofErr w:type="spellStart"/>
      <w:r w:rsidRPr="007C0F1E">
        <w:rPr>
          <w:rFonts w:ascii="Arial" w:eastAsiaTheme="minorEastAsia" w:hAnsi="Arial" w:cs="Arial"/>
          <w:sz w:val="14"/>
          <w:szCs w:val="14"/>
        </w:rPr>
        <w:t>Wojda</w:t>
      </w:r>
      <w:proofErr w:type="spellEnd"/>
      <w:r w:rsidRPr="007C0F1E">
        <w:rPr>
          <w:rFonts w:ascii="Arial" w:eastAsiaTheme="minorEastAsia" w:hAnsi="Arial" w:cs="Arial"/>
          <w:sz w:val="14"/>
          <w:szCs w:val="14"/>
        </w:rPr>
        <w:t xml:space="preserve"> is a Full Professor of Biological Sciences, Head of the Laboratory of Preclinical Testing of Higher Standard at the </w:t>
      </w:r>
      <w:proofErr w:type="spellStart"/>
      <w:r w:rsidRPr="007C0F1E">
        <w:rPr>
          <w:rFonts w:ascii="Arial" w:eastAsiaTheme="minorEastAsia" w:hAnsi="Arial" w:cs="Arial"/>
          <w:sz w:val="14"/>
          <w:szCs w:val="14"/>
        </w:rPr>
        <w:t>Nencki</w:t>
      </w:r>
      <w:proofErr w:type="spellEnd"/>
      <w:r w:rsidRPr="007C0F1E">
        <w:rPr>
          <w:rFonts w:ascii="Arial" w:eastAsiaTheme="minorEastAsia" w:hAnsi="Arial" w:cs="Arial"/>
          <w:sz w:val="14"/>
          <w:szCs w:val="14"/>
        </w:rPr>
        <w:t xml:space="preserve"> Institute in Warsaw. Her research is focused on molecular mechanisms of neurodegeneration and cancer and on search for novel anti-cancer and neuroprotective compounds. She completed her PhD from the </w:t>
      </w:r>
      <w:proofErr w:type="spellStart"/>
      <w:r w:rsidRPr="007C0F1E">
        <w:rPr>
          <w:rFonts w:ascii="Arial" w:eastAsiaTheme="minorEastAsia" w:hAnsi="Arial" w:cs="Arial"/>
          <w:sz w:val="14"/>
          <w:szCs w:val="14"/>
        </w:rPr>
        <w:t>Nencki</w:t>
      </w:r>
      <w:proofErr w:type="spellEnd"/>
      <w:r w:rsidRPr="007C0F1E">
        <w:rPr>
          <w:rFonts w:ascii="Arial" w:eastAsiaTheme="minorEastAsia" w:hAnsi="Arial" w:cs="Arial"/>
          <w:sz w:val="14"/>
          <w:szCs w:val="14"/>
        </w:rPr>
        <w:t xml:space="preserve"> Institute and conducted research at the Pasteur Institute in France and at the National Institutes of Health, USA (postdoctoral training). She has published more than 45 papers in reputed journals. She serves as Polish expert at the Management Board of the EU Joint Programming for Neurodegenerative Diseases (JPND) and as a member of several international editorial boards.</w:t>
      </w:r>
    </w:p>
    <w:p w:rsidR="00AE3E37" w:rsidRDefault="00A9710C" w:rsidP="00680AC5">
      <w:pPr>
        <w:spacing w:before="92"/>
        <w:ind w:left="2880" w:right="4234" w:firstLine="720"/>
        <w:jc w:val="center"/>
        <w:rPr>
          <w:rFonts w:ascii="Arial"/>
          <w:sz w:val="14"/>
        </w:rPr>
      </w:pPr>
      <w:r>
        <w:rPr>
          <w:rFonts w:ascii="Arial"/>
          <w:sz w:val="14"/>
        </w:rPr>
        <w:t xml:space="preserve">Email: </w:t>
      </w:r>
      <w:hyperlink r:id="rId13" w:history="1">
        <w:r w:rsidR="007C0F1E" w:rsidRPr="00413838">
          <w:rPr>
            <w:rStyle w:val="Hipercze"/>
            <w:rFonts w:ascii="Arial"/>
            <w:sz w:val="14"/>
          </w:rPr>
          <w:t>u.wojda@nencki.gov.pl</w:t>
        </w:r>
      </w:hyperlink>
    </w:p>
    <w:p w:rsidR="007C0F1E" w:rsidRDefault="007C0F1E">
      <w:pPr>
        <w:spacing w:before="62"/>
        <w:ind w:left="4217" w:right="4235"/>
        <w:jc w:val="center"/>
        <w:rPr>
          <w:rFonts w:ascii="Arial"/>
          <w:sz w:val="14"/>
        </w:rPr>
      </w:pPr>
    </w:p>
    <w:p w:rsidR="00AE3E37" w:rsidRDefault="00963952">
      <w:pPr>
        <w:pStyle w:val="Tekstpodstawowy"/>
        <w:spacing w:before="2"/>
        <w:rPr>
          <w:rFonts w:ascii="Arial"/>
          <w:sz w:val="19"/>
        </w:rPr>
      </w:pPr>
      <w:r>
        <w:rPr>
          <w:noProof/>
          <w:lang w:val="pl-PL" w:eastAsia="pl-PL"/>
        </w:rPr>
        <w:lastRenderedPageBreak/>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BC664"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eWp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OG5&#10;5ak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25ED" w:rsidRDefault="00DE25ED">
      <w:r>
        <w:separator/>
      </w:r>
    </w:p>
  </w:endnote>
  <w:endnote w:type="continuationSeparator" w:id="0">
    <w:p w:rsidR="00DE25ED" w:rsidRDefault="00DE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altName w:val="Lucida Sans Unicode"/>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490C" w:rsidRPr="002B0A93" w:rsidRDefault="002B0A93" w:rsidP="005D490C">
    <w:pPr>
      <w:pStyle w:val="Stopka"/>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836481">
      <w:rPr>
        <w:rFonts w:ascii="Times New Roman" w:hAnsi="Times New Roman" w:cs="Times New Roman"/>
        <w:sz w:val="28"/>
        <w:szCs w:val="28"/>
        <w:lang w:val="en-IN"/>
      </w:rPr>
      <w:t>Cancer Research</w:t>
    </w:r>
    <w:r w:rsidR="005D490C">
      <w:rPr>
        <w:rFonts w:ascii="Times New Roman" w:hAnsi="Times New Roman" w:cs="Times New Roman"/>
        <w:sz w:val="28"/>
        <w:szCs w:val="28"/>
        <w:lang w:val="en-IN"/>
      </w:rPr>
      <w:t xml:space="preserve">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25ED" w:rsidRDefault="00DE25ED">
      <w:r>
        <w:separator/>
      </w:r>
    </w:p>
  </w:footnote>
  <w:footnote w:type="continuationSeparator" w:id="0">
    <w:p w:rsidR="00DE25ED" w:rsidRDefault="00DE2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6481" w:rsidRPr="00A13FF3" w:rsidRDefault="00BD5A88" w:rsidP="00836481">
    <w:pPr>
      <w:pStyle w:val="Nagwek1"/>
      <w:shd w:val="clear" w:color="auto" w:fill="FFFFFF"/>
      <w:spacing w:before="225" w:after="150"/>
      <w:jc w:val="center"/>
      <w:rPr>
        <w:rFonts w:ascii="Arial" w:hAnsi="Arial" w:cs="Arial"/>
        <w:b w:val="0"/>
        <w:bCs w:val="0"/>
        <w:color w:val="395985"/>
        <w:sz w:val="48"/>
        <w:szCs w:val="54"/>
      </w:rPr>
    </w:pPr>
    <w:r>
      <w:rPr>
        <w:rFonts w:ascii="Arial" w:hAnsi="Arial" w:cs="Arial"/>
        <w:b w:val="0"/>
        <w:bCs w:val="0"/>
        <w:color w:val="395985"/>
        <w:sz w:val="48"/>
        <w:szCs w:val="54"/>
      </w:rPr>
      <w:t>7</w:t>
    </w:r>
    <w:r w:rsidR="00A13FF3" w:rsidRPr="00A13FF3">
      <w:rPr>
        <w:rFonts w:ascii="Arial" w:hAnsi="Arial" w:cs="Arial"/>
        <w:b w:val="0"/>
        <w:bCs w:val="0"/>
        <w:color w:val="395985"/>
        <w:sz w:val="48"/>
        <w:szCs w:val="54"/>
        <w:vertAlign w:val="superscript"/>
      </w:rPr>
      <w:t>th</w:t>
    </w:r>
    <w:r w:rsidR="00A13FF3" w:rsidRPr="00A13FF3">
      <w:rPr>
        <w:rFonts w:ascii="Arial" w:hAnsi="Arial" w:cs="Arial"/>
        <w:b w:val="0"/>
        <w:bCs w:val="0"/>
        <w:color w:val="395985"/>
        <w:sz w:val="48"/>
        <w:szCs w:val="54"/>
      </w:rPr>
      <w:t xml:space="preserve"> Edition World Congress on</w:t>
    </w:r>
    <w:r w:rsidR="00A13FF3">
      <w:rPr>
        <w:rFonts w:ascii="Arial" w:hAnsi="Arial" w:cs="Arial"/>
        <w:b w:val="0"/>
        <w:bCs w:val="0"/>
        <w:color w:val="395985"/>
        <w:sz w:val="48"/>
        <w:szCs w:val="54"/>
      </w:rPr>
      <w:t xml:space="preserve"> Cancer Research, Survivorship </w:t>
    </w:r>
    <w:r w:rsidR="00A13FF3" w:rsidRPr="00A13FF3">
      <w:rPr>
        <w:rFonts w:ascii="Arial" w:hAnsi="Arial" w:cs="Arial"/>
        <w:b w:val="0"/>
        <w:bCs w:val="0"/>
        <w:color w:val="395985"/>
        <w:sz w:val="48"/>
        <w:szCs w:val="54"/>
      </w:rPr>
      <w:t xml:space="preserve">and Management </w:t>
    </w:r>
  </w:p>
  <w:p w:rsidR="00836481" w:rsidRPr="00836481" w:rsidRDefault="00A13FF3" w:rsidP="00A13FF3">
    <w:pPr>
      <w:pStyle w:val="Nagwek1"/>
      <w:shd w:val="clear" w:color="auto" w:fill="FFFFFF"/>
      <w:tabs>
        <w:tab w:val="center" w:pos="5395"/>
        <w:tab w:val="left" w:pos="9945"/>
      </w:tabs>
      <w:spacing w:before="225" w:after="150"/>
      <w:jc w:val="center"/>
      <w:rPr>
        <w:rFonts w:ascii="Arial" w:hAnsi="Arial" w:cs="Arial"/>
        <w:b w:val="0"/>
        <w:bCs w:val="0"/>
        <w:color w:val="395985"/>
        <w:sz w:val="54"/>
        <w:szCs w:val="54"/>
      </w:rPr>
    </w:pPr>
    <w:r>
      <w:rPr>
        <w:rStyle w:val="Pogrubienie"/>
        <w:rFonts w:ascii="Arial" w:hAnsi="Arial" w:cs="Arial"/>
        <w:color w:val="98B037"/>
        <w:shd w:val="clear" w:color="auto" w:fill="FFFFFF"/>
      </w:rPr>
      <w:t xml:space="preserve">         August 22-23, 2019</w:t>
    </w:r>
    <w:r w:rsidR="00836481">
      <w:rPr>
        <w:rStyle w:val="Pogrubienie"/>
        <w:rFonts w:ascii="Arial" w:hAnsi="Arial" w:cs="Arial"/>
        <w:color w:val="98B037"/>
        <w:shd w:val="clear" w:color="auto" w:fill="FFFFFF"/>
      </w:rPr>
      <w:t> </w:t>
    </w:r>
    <w:r>
      <w:rPr>
        <w:rStyle w:val="Pogrubienie"/>
        <w:rFonts w:ascii="Arial" w:hAnsi="Arial" w:cs="Arial"/>
        <w:color w:val="98B037"/>
        <w:shd w:val="clear" w:color="auto" w:fill="FFFFFF"/>
      </w:rPr>
      <w:tab/>
    </w:r>
    <w:r w:rsidR="00836481">
      <w:rPr>
        <w:rFonts w:ascii="Arial" w:hAnsi="Arial" w:cs="Arial"/>
        <w:color w:val="333333"/>
      </w:rPr>
      <w:br/>
    </w:r>
    <w:r>
      <w:rPr>
        <w:rStyle w:val="text-primary"/>
        <w:rFonts w:ascii="Arial" w:hAnsi="Arial" w:cs="Arial"/>
        <w:color w:val="395985"/>
        <w:shd w:val="clear" w:color="auto" w:fill="FFFFFF"/>
      </w:rPr>
      <w:t>Tokyo</w:t>
    </w:r>
    <w:r w:rsidR="00836481">
      <w:rPr>
        <w:rStyle w:val="text-primary"/>
        <w:rFonts w:ascii="Arial" w:hAnsi="Arial" w:cs="Arial"/>
        <w:color w:val="395985"/>
        <w:shd w:val="clear" w:color="auto" w:fill="FFFFFF"/>
      </w:rPr>
      <w:t xml:space="preserve">, </w:t>
    </w:r>
    <w:r>
      <w:rPr>
        <w:rStyle w:val="text-primary"/>
        <w:rFonts w:ascii="Arial" w:hAnsi="Arial" w:cs="Arial"/>
        <w:color w:val="395985"/>
        <w:shd w:val="clear" w:color="auto" w:fill="FFFFFF"/>
      </w:rPr>
      <w:t>Japan</w:t>
    </w:r>
  </w:p>
  <w:p w:rsidR="00AE3E37" w:rsidRPr="00C80461" w:rsidRDefault="00AE3E37" w:rsidP="00C8046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444B"/>
    <w:rsid w:val="000801BC"/>
    <w:rsid w:val="000E2911"/>
    <w:rsid w:val="001263DF"/>
    <w:rsid w:val="00187349"/>
    <w:rsid w:val="0022080D"/>
    <w:rsid w:val="00273C63"/>
    <w:rsid w:val="00275063"/>
    <w:rsid w:val="00292ED9"/>
    <w:rsid w:val="002B0A93"/>
    <w:rsid w:val="002F069D"/>
    <w:rsid w:val="003B1BF4"/>
    <w:rsid w:val="003F74C7"/>
    <w:rsid w:val="00404E5B"/>
    <w:rsid w:val="00414F7B"/>
    <w:rsid w:val="0042163B"/>
    <w:rsid w:val="004355DC"/>
    <w:rsid w:val="004749B4"/>
    <w:rsid w:val="00494130"/>
    <w:rsid w:val="004F3523"/>
    <w:rsid w:val="00514A03"/>
    <w:rsid w:val="00581C26"/>
    <w:rsid w:val="005973B9"/>
    <w:rsid w:val="005B3A56"/>
    <w:rsid w:val="005D490C"/>
    <w:rsid w:val="005F74F5"/>
    <w:rsid w:val="006060CE"/>
    <w:rsid w:val="006272D5"/>
    <w:rsid w:val="0063497F"/>
    <w:rsid w:val="00643984"/>
    <w:rsid w:val="00680AC5"/>
    <w:rsid w:val="006A1760"/>
    <w:rsid w:val="006B44AF"/>
    <w:rsid w:val="006D3F60"/>
    <w:rsid w:val="007328C2"/>
    <w:rsid w:val="00765423"/>
    <w:rsid w:val="007C0F1E"/>
    <w:rsid w:val="007E2A11"/>
    <w:rsid w:val="00836481"/>
    <w:rsid w:val="00853E1F"/>
    <w:rsid w:val="00873DF0"/>
    <w:rsid w:val="008756E6"/>
    <w:rsid w:val="0089689A"/>
    <w:rsid w:val="00951447"/>
    <w:rsid w:val="00957BD1"/>
    <w:rsid w:val="00963952"/>
    <w:rsid w:val="009A1647"/>
    <w:rsid w:val="009A2148"/>
    <w:rsid w:val="009B2D44"/>
    <w:rsid w:val="00A02AF5"/>
    <w:rsid w:val="00A07E82"/>
    <w:rsid w:val="00A13FF3"/>
    <w:rsid w:val="00A902D5"/>
    <w:rsid w:val="00A9710C"/>
    <w:rsid w:val="00A9734D"/>
    <w:rsid w:val="00AE3E37"/>
    <w:rsid w:val="00B21A57"/>
    <w:rsid w:val="00B52666"/>
    <w:rsid w:val="00BB42E7"/>
    <w:rsid w:val="00BD5A88"/>
    <w:rsid w:val="00C33602"/>
    <w:rsid w:val="00C74082"/>
    <w:rsid w:val="00C80461"/>
    <w:rsid w:val="00C82A67"/>
    <w:rsid w:val="00CA49EF"/>
    <w:rsid w:val="00CC6099"/>
    <w:rsid w:val="00CD6F55"/>
    <w:rsid w:val="00CF4CEC"/>
    <w:rsid w:val="00D00D11"/>
    <w:rsid w:val="00D922A9"/>
    <w:rsid w:val="00DC7E77"/>
    <w:rsid w:val="00DD3A67"/>
    <w:rsid w:val="00DD5551"/>
    <w:rsid w:val="00DE25ED"/>
    <w:rsid w:val="00DE3104"/>
    <w:rsid w:val="00E126D2"/>
    <w:rsid w:val="00E354CE"/>
    <w:rsid w:val="00E979BD"/>
    <w:rsid w:val="00EC4EED"/>
    <w:rsid w:val="00EC6F72"/>
    <w:rsid w:val="00F66F25"/>
    <w:rsid w:val="00F72EEA"/>
    <w:rsid w:val="00F84CA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7ECDB2-5D64-4FB0-812B-85D4FB91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Bezodstpw">
    <w:name w:val="No Spacing"/>
    <w:uiPriority w:val="1"/>
    <w:qFormat/>
    <w:rsid w:val="006B44AF"/>
    <w:rPr>
      <w:rFonts w:ascii="Tw Cen MT" w:eastAsia="Tw Cen MT" w:hAnsi="Tw Cen MT" w:cs="Tw Cen MT"/>
    </w:rPr>
  </w:style>
  <w:style w:type="character" w:styleId="Pogrubienie">
    <w:name w:val="Strong"/>
    <w:basedOn w:val="Domylnaczcionkaakapitu"/>
    <w:uiPriority w:val="22"/>
    <w:qFormat/>
    <w:rsid w:val="00836481"/>
    <w:rPr>
      <w:b/>
      <w:bCs/>
    </w:rPr>
  </w:style>
  <w:style w:type="character" w:customStyle="1" w:styleId="text-primary">
    <w:name w:val="text-primary"/>
    <w:basedOn w:val="Domylnaczcionkaakapitu"/>
    <w:rsid w:val="00836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1112026">
      <w:bodyDiv w:val="1"/>
      <w:marLeft w:val="0"/>
      <w:marRight w:val="0"/>
      <w:marTop w:val="0"/>
      <w:marBottom w:val="0"/>
      <w:divBdr>
        <w:top w:val="none" w:sz="0" w:space="0" w:color="auto"/>
        <w:left w:val="none" w:sz="0" w:space="0" w:color="auto"/>
        <w:bottom w:val="none" w:sz="0" w:space="0" w:color="auto"/>
        <w:right w:val="none" w:sz="0" w:space="0" w:color="auto"/>
      </w:divBdr>
    </w:div>
    <w:div w:id="107388996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u.wojda@nencki.gov.p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3490</Characters>
  <Application>Microsoft Office Word</Application>
  <DocSecurity>0</DocSecurity>
  <Lines>29</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Uwojda</cp:lastModifiedBy>
  <cp:revision>2</cp:revision>
  <dcterms:created xsi:type="dcterms:W3CDTF">2019-07-25T09:19:00Z</dcterms:created>
  <dcterms:modified xsi:type="dcterms:W3CDTF">2019-07-25T09:19:00Z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