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1C9" w:rsidRPr="007A2987" w:rsidRDefault="001471C9" w:rsidP="0028481E">
      <w:pPr>
        <w:keepNext/>
        <w:widowControl w:val="0"/>
        <w:suppressAutoHyphens/>
        <w:spacing w:line="276" w:lineRule="auto"/>
        <w:jc w:val="center"/>
        <w:rPr>
          <w:b/>
          <w:bCs/>
          <w:noProof/>
          <w:sz w:val="28"/>
        </w:rPr>
      </w:pPr>
      <w:r w:rsidRPr="007A2987">
        <w:rPr>
          <w:b/>
          <w:bCs/>
          <w:noProof/>
          <w:sz w:val="28"/>
        </w:rPr>
        <w:t xml:space="preserve">Methanolic Extract </w:t>
      </w:r>
      <w:r w:rsidR="0028481E">
        <w:rPr>
          <w:b/>
          <w:bCs/>
          <w:noProof/>
          <w:sz w:val="28"/>
        </w:rPr>
        <w:t>f</w:t>
      </w:r>
      <w:bookmarkStart w:id="0" w:name="_GoBack"/>
      <w:bookmarkEnd w:id="0"/>
      <w:r w:rsidRPr="007A2987">
        <w:rPr>
          <w:b/>
          <w:bCs/>
          <w:noProof/>
          <w:sz w:val="28"/>
        </w:rPr>
        <w:t xml:space="preserve">rom Aerial Parts </w:t>
      </w:r>
      <w:r>
        <w:rPr>
          <w:b/>
          <w:bCs/>
          <w:noProof/>
          <w:sz w:val="28"/>
        </w:rPr>
        <w:t>o</w:t>
      </w:r>
      <w:r w:rsidRPr="007A2987">
        <w:rPr>
          <w:b/>
          <w:bCs/>
          <w:noProof/>
          <w:sz w:val="28"/>
        </w:rPr>
        <w:t xml:space="preserve">f </w:t>
      </w:r>
      <w:r w:rsidRPr="007A2987">
        <w:rPr>
          <w:b/>
          <w:bCs/>
          <w:i/>
          <w:iCs/>
          <w:noProof/>
          <w:sz w:val="28"/>
        </w:rPr>
        <w:t>Artemisia Annua</w:t>
      </w:r>
      <w:r w:rsidRPr="007A2987">
        <w:rPr>
          <w:b/>
          <w:bCs/>
          <w:noProof/>
          <w:sz w:val="28"/>
        </w:rPr>
        <w:t xml:space="preserve"> L. Enhances Sensitivity </w:t>
      </w:r>
      <w:r>
        <w:rPr>
          <w:b/>
          <w:bCs/>
          <w:noProof/>
          <w:sz w:val="28"/>
        </w:rPr>
        <w:t>o</w:t>
      </w:r>
      <w:r w:rsidRPr="007A2987">
        <w:rPr>
          <w:b/>
          <w:bCs/>
          <w:noProof/>
          <w:sz w:val="28"/>
        </w:rPr>
        <w:t xml:space="preserve">f   Pre-B Acute Lymphoblastic Leukemia Cell Lines </w:t>
      </w:r>
      <w:r>
        <w:rPr>
          <w:b/>
          <w:bCs/>
          <w:noProof/>
          <w:sz w:val="28"/>
        </w:rPr>
        <w:t>t</w:t>
      </w:r>
      <w:r w:rsidRPr="007A2987">
        <w:rPr>
          <w:b/>
          <w:bCs/>
          <w:noProof/>
          <w:sz w:val="28"/>
        </w:rPr>
        <w:t>o Vincristine</w:t>
      </w:r>
    </w:p>
    <w:p w:rsidR="001471C9" w:rsidRPr="007A2987" w:rsidRDefault="001471C9" w:rsidP="001471C9">
      <w:pPr>
        <w:widowControl w:val="0"/>
        <w:jc w:val="center"/>
      </w:pPr>
      <w:r>
        <w:rPr>
          <w:rFonts w:eastAsia="MS PGothic" w:hAnsi="Arial"/>
          <w:color w:val="000000"/>
        </w:rPr>
        <w:br/>
      </w:r>
      <w:r>
        <w:rPr>
          <w:b/>
          <w:sz w:val="28"/>
          <w:szCs w:val="28"/>
        </w:rPr>
        <w:t xml:space="preserve">       </w:t>
      </w:r>
      <w:r w:rsidRPr="007A2987">
        <w:t>Pargol Mashati</w:t>
      </w:r>
      <w:r w:rsidRPr="007A2987">
        <w:rPr>
          <w:vertAlign w:val="superscript"/>
        </w:rPr>
        <w:t>a</w:t>
      </w:r>
      <w:r w:rsidRPr="007A2987">
        <w:t>, Somayeh Esmaeili</w:t>
      </w:r>
      <w:r w:rsidRPr="007A2987">
        <w:rPr>
          <w:vertAlign w:val="superscript"/>
        </w:rPr>
        <w:t>b</w:t>
      </w:r>
      <w:r w:rsidRPr="007A2987">
        <w:t>, Nasrin Dehghan-Nayeri</w:t>
      </w:r>
      <w:r w:rsidRPr="007A2987">
        <w:rPr>
          <w:vertAlign w:val="superscript"/>
        </w:rPr>
        <w:t>a</w:t>
      </w:r>
      <w:r w:rsidRPr="007A2987">
        <w:t>, Mina Darvishi</w:t>
      </w:r>
      <w:r w:rsidRPr="007A2987">
        <w:rPr>
          <w:vertAlign w:val="superscript"/>
        </w:rPr>
        <w:t>a</w:t>
      </w:r>
      <w:r w:rsidRPr="007A2987">
        <w:t>, Ahmad Gharehbaghian</w:t>
      </w:r>
      <w:r w:rsidRPr="007A2987">
        <w:rPr>
          <w:vertAlign w:val="superscript"/>
        </w:rPr>
        <w:t>a,c*</w:t>
      </w:r>
    </w:p>
    <w:p w:rsidR="001471C9" w:rsidRPr="007A2987" w:rsidRDefault="001471C9" w:rsidP="001471C9">
      <w:pPr>
        <w:widowControl w:val="0"/>
        <w:jc w:val="center"/>
        <w:rPr>
          <w:iCs/>
        </w:rPr>
      </w:pPr>
      <w:r w:rsidRPr="007A2987">
        <w:rPr>
          <w:iCs/>
          <w:vertAlign w:val="superscript"/>
        </w:rPr>
        <w:t>a</w:t>
      </w:r>
      <w:r w:rsidRPr="007A2987">
        <w:rPr>
          <w:iCs/>
        </w:rPr>
        <w:t>Department of Laboratory Hematology and Blood Bank, Shahid Beheshti University of Medical Sciences, Tehran, Iran</w:t>
      </w:r>
    </w:p>
    <w:p w:rsidR="001471C9" w:rsidRPr="007A2987" w:rsidRDefault="001471C9" w:rsidP="001471C9">
      <w:pPr>
        <w:widowControl w:val="0"/>
        <w:jc w:val="center"/>
        <w:rPr>
          <w:iCs/>
        </w:rPr>
      </w:pPr>
      <w:r w:rsidRPr="007A2987">
        <w:rPr>
          <w:iCs/>
          <w:vertAlign w:val="superscript"/>
        </w:rPr>
        <w:t>b</w:t>
      </w:r>
      <w:r w:rsidRPr="007A2987">
        <w:rPr>
          <w:iCs/>
        </w:rPr>
        <w:t>Tradintional Medicine and Materia Medica Research Center, School of Traditional Medicine, Shahid Beheshti University of Medical Sciences, Tehran, Iran</w:t>
      </w:r>
    </w:p>
    <w:p w:rsidR="001471C9" w:rsidRPr="007A2987" w:rsidRDefault="001471C9" w:rsidP="001471C9">
      <w:pPr>
        <w:widowControl w:val="0"/>
        <w:jc w:val="center"/>
        <w:rPr>
          <w:iCs/>
        </w:rPr>
      </w:pPr>
      <w:r w:rsidRPr="007A2987">
        <w:rPr>
          <w:iCs/>
          <w:vertAlign w:val="superscript"/>
        </w:rPr>
        <w:t>c</w:t>
      </w:r>
      <w:r w:rsidRPr="007A2987">
        <w:rPr>
          <w:iCs/>
          <w:noProof/>
        </w:rPr>
        <w:t xml:space="preserve"> </w:t>
      </w:r>
      <w:r w:rsidRPr="007A2987">
        <w:rPr>
          <w:iCs/>
        </w:rPr>
        <w:t>Department of Laboratory Hematology and Blood Bank, Shahid Beheshti University of Medical Sciences, School of Allied Medical Sciences, Tehran, Iran</w:t>
      </w:r>
    </w:p>
    <w:p w:rsidR="001471C9" w:rsidRDefault="001471C9" w:rsidP="001471C9">
      <w:pPr>
        <w:rPr>
          <w:rFonts w:eastAsia="Batang"/>
          <w:color w:val="0000FF"/>
          <w:sz w:val="36"/>
          <w:szCs w:val="36"/>
        </w:rPr>
      </w:pPr>
    </w:p>
    <w:p w:rsidR="001471C9" w:rsidRPr="00D9178A" w:rsidRDefault="001471C9" w:rsidP="0028481E">
      <w:pPr>
        <w:jc w:val="both"/>
        <w:rPr>
          <w:rFonts w:eastAsia="MS PGothic"/>
          <w:i/>
          <w:iCs/>
          <w:color w:val="000000"/>
          <w:szCs w:val="32"/>
          <w:lang w:val="en-US"/>
        </w:rPr>
      </w:pPr>
      <w:r w:rsidRPr="00D9178A">
        <w:rPr>
          <w:rFonts w:eastAsia="MS PGothic"/>
          <w:b/>
          <w:bCs/>
          <w:i/>
          <w:color w:val="000000"/>
          <w:szCs w:val="32"/>
          <w:lang w:val="en-US"/>
        </w:rPr>
        <w:t>Purpose</w:t>
      </w:r>
      <w:r w:rsidRPr="00D9178A">
        <w:rPr>
          <w:rFonts w:eastAsia="MS PGothic"/>
          <w:iCs/>
          <w:color w:val="000000"/>
          <w:szCs w:val="32"/>
          <w:lang w:val="en-US"/>
        </w:rPr>
        <w:t xml:space="preserve">: </w:t>
      </w:r>
      <w:r w:rsidR="0028481E">
        <w:rPr>
          <w:iCs/>
        </w:rPr>
        <w:t xml:space="preserve">Vincristine (VCR) is a widely used chemotherapy drug in the treatment of acute lymphoblastic leukemia (ALL). Clinical use of VCR is highly limited by its neurotoxicity and dose-limiting effects. Combination therapy with natural products can be an efficient therapeutic approach to reduce adverse effects of chemotherapy drugs. The aim of the present study is to investigate the synergistic effect of </w:t>
      </w:r>
      <w:r w:rsidR="0028481E">
        <w:t xml:space="preserve">methanolic extract from aerial parts of </w:t>
      </w:r>
      <w:r w:rsidR="0028481E">
        <w:rPr>
          <w:i/>
          <w:iCs/>
        </w:rPr>
        <w:t xml:space="preserve">Artemisia annua </w:t>
      </w:r>
      <w:r w:rsidR="0028481E">
        <w:rPr>
          <w:iCs/>
        </w:rPr>
        <w:t xml:space="preserve">in combination with VCR on leukemic cell death </w:t>
      </w:r>
      <w:r w:rsidR="0028481E">
        <w:rPr>
          <w:i/>
          <w:iCs/>
        </w:rPr>
        <w:t>in vitro</w:t>
      </w:r>
    </w:p>
    <w:p w:rsidR="001471C9" w:rsidRPr="00D9178A" w:rsidRDefault="001471C9" w:rsidP="001471C9">
      <w:pPr>
        <w:jc w:val="both"/>
        <w:rPr>
          <w:rFonts w:eastAsia="MS PGothic"/>
          <w:iCs/>
          <w:color w:val="000000"/>
          <w:szCs w:val="32"/>
          <w:lang w:val="en-US"/>
        </w:rPr>
      </w:pPr>
      <w:r w:rsidRPr="00D9178A">
        <w:rPr>
          <w:rFonts w:eastAsia="MS PGothic"/>
          <w:b/>
          <w:bCs/>
          <w:i/>
          <w:iCs/>
          <w:color w:val="000000"/>
          <w:szCs w:val="32"/>
          <w:lang w:val="en-US"/>
        </w:rPr>
        <w:t>Methods</w:t>
      </w:r>
      <w:r w:rsidRPr="00D9178A">
        <w:rPr>
          <w:rFonts w:eastAsia="MS PGothic"/>
          <w:i/>
          <w:iCs/>
          <w:color w:val="000000"/>
          <w:szCs w:val="32"/>
          <w:lang w:val="en-US"/>
        </w:rPr>
        <w:t xml:space="preserve">: </w:t>
      </w:r>
      <w:r w:rsidRPr="00D9178A">
        <w:rPr>
          <w:rFonts w:eastAsia="MS PGothic"/>
          <w:iCs/>
          <w:color w:val="000000"/>
          <w:szCs w:val="32"/>
          <w:lang w:val="en-US"/>
        </w:rPr>
        <w:t xml:space="preserve">MTT assay was carried out to determine the cytotoxicity activity of </w:t>
      </w:r>
      <w:r w:rsidRPr="00D9178A">
        <w:rPr>
          <w:rFonts w:eastAsia="MS PGothic"/>
          <w:color w:val="000000"/>
          <w:szCs w:val="32"/>
          <w:lang w:val="en-US"/>
        </w:rPr>
        <w:t>the extract</w:t>
      </w:r>
      <w:r w:rsidRPr="00D9178A">
        <w:rPr>
          <w:rFonts w:eastAsia="MS PGothic"/>
          <w:i/>
          <w:iCs/>
          <w:color w:val="000000"/>
          <w:szCs w:val="32"/>
          <w:lang w:val="en-US"/>
        </w:rPr>
        <w:t xml:space="preserve"> </w:t>
      </w:r>
      <w:r w:rsidRPr="00D9178A">
        <w:rPr>
          <w:rFonts w:eastAsia="MS PGothic"/>
          <w:iCs/>
          <w:color w:val="000000"/>
          <w:szCs w:val="32"/>
          <w:lang w:val="en-US"/>
        </w:rPr>
        <w:t xml:space="preserve">and VCR. Combination Index was evaluated to assess the synergism/antagonism effect of two agents. Apoptosis was analyzed by flow </w:t>
      </w:r>
      <w:proofErr w:type="spellStart"/>
      <w:r w:rsidRPr="00D9178A">
        <w:rPr>
          <w:rFonts w:eastAsia="MS PGothic"/>
          <w:iCs/>
          <w:color w:val="000000"/>
          <w:szCs w:val="32"/>
          <w:lang w:val="en-US"/>
        </w:rPr>
        <w:t>cytometry</w:t>
      </w:r>
      <w:proofErr w:type="spellEnd"/>
      <w:r w:rsidRPr="00D9178A">
        <w:rPr>
          <w:rFonts w:eastAsia="MS PGothic"/>
          <w:iCs/>
          <w:color w:val="000000"/>
          <w:szCs w:val="32"/>
          <w:lang w:val="en-US"/>
        </w:rPr>
        <w:t xml:space="preserve"> and </w:t>
      </w:r>
      <w:proofErr w:type="spellStart"/>
      <w:r w:rsidRPr="00D9178A">
        <w:rPr>
          <w:rFonts w:eastAsia="MS PGothic"/>
          <w:iCs/>
          <w:color w:val="000000"/>
          <w:szCs w:val="32"/>
          <w:lang w:val="en-US"/>
        </w:rPr>
        <w:t>Caspase</w:t>
      </w:r>
      <w:proofErr w:type="spellEnd"/>
      <w:r w:rsidRPr="00D9178A">
        <w:rPr>
          <w:rFonts w:eastAsia="MS PGothic"/>
          <w:iCs/>
          <w:color w:val="000000"/>
          <w:szCs w:val="32"/>
          <w:lang w:val="en-US"/>
        </w:rPr>
        <w:t xml:space="preserve"> 3 activity assay. </w:t>
      </w:r>
      <w:proofErr w:type="gramStart"/>
      <w:r w:rsidRPr="00D9178A">
        <w:rPr>
          <w:rFonts w:eastAsia="MS PGothic"/>
          <w:iCs/>
          <w:color w:val="000000"/>
          <w:szCs w:val="32"/>
          <w:lang w:val="en-US"/>
        </w:rPr>
        <w:t>mRNA</w:t>
      </w:r>
      <w:proofErr w:type="gramEnd"/>
      <w:r w:rsidRPr="00D9178A">
        <w:rPr>
          <w:rFonts w:eastAsia="MS PGothic"/>
          <w:iCs/>
          <w:color w:val="000000"/>
          <w:szCs w:val="32"/>
          <w:lang w:val="en-US"/>
        </w:rPr>
        <w:t xml:space="preserve"> expressions of </w:t>
      </w:r>
      <w:proofErr w:type="spellStart"/>
      <w:r w:rsidRPr="00D9178A">
        <w:rPr>
          <w:rFonts w:eastAsia="MS PGothic"/>
          <w:iCs/>
          <w:color w:val="000000"/>
          <w:szCs w:val="32"/>
          <w:lang w:val="en-US"/>
        </w:rPr>
        <w:t>Caspase</w:t>
      </w:r>
      <w:proofErr w:type="spellEnd"/>
      <w:r w:rsidRPr="00D9178A">
        <w:rPr>
          <w:rFonts w:eastAsia="MS PGothic"/>
          <w:iCs/>
          <w:color w:val="000000"/>
          <w:szCs w:val="32"/>
          <w:lang w:val="en-US"/>
        </w:rPr>
        <w:t xml:space="preserve"> 3, </w:t>
      </w:r>
      <w:proofErr w:type="spellStart"/>
      <w:r w:rsidRPr="00D9178A">
        <w:rPr>
          <w:rFonts w:eastAsia="MS PGothic"/>
          <w:iCs/>
          <w:color w:val="000000"/>
          <w:szCs w:val="32"/>
          <w:lang w:val="en-US"/>
        </w:rPr>
        <w:t>Bax</w:t>
      </w:r>
      <w:proofErr w:type="spellEnd"/>
      <w:r w:rsidRPr="00D9178A">
        <w:rPr>
          <w:rFonts w:eastAsia="MS PGothic"/>
          <w:iCs/>
          <w:color w:val="000000"/>
          <w:szCs w:val="32"/>
          <w:lang w:val="en-US"/>
        </w:rPr>
        <w:t xml:space="preserve">, Bcl-2 were quantified using RT-PCR. One-way ANOVA and post hoc </w:t>
      </w:r>
      <w:proofErr w:type="spellStart"/>
      <w:r w:rsidRPr="00D9178A">
        <w:rPr>
          <w:rFonts w:eastAsia="MS PGothic"/>
          <w:iCs/>
          <w:color w:val="000000"/>
          <w:szCs w:val="32"/>
          <w:lang w:val="en-US"/>
        </w:rPr>
        <w:t>Tukey</w:t>
      </w:r>
      <w:proofErr w:type="spellEnd"/>
      <w:r w:rsidRPr="00D9178A">
        <w:rPr>
          <w:rFonts w:eastAsia="MS PGothic"/>
          <w:iCs/>
          <w:color w:val="000000"/>
          <w:szCs w:val="32"/>
          <w:lang w:val="en-US"/>
        </w:rPr>
        <w:t xml:space="preserve"> multiple comparison tests were used for statistical analysis.</w:t>
      </w:r>
    </w:p>
    <w:p w:rsidR="001471C9" w:rsidRPr="00D9178A" w:rsidRDefault="001471C9" w:rsidP="001471C9">
      <w:pPr>
        <w:jc w:val="both"/>
        <w:rPr>
          <w:rFonts w:eastAsia="MS PGothic"/>
          <w:iCs/>
          <w:color w:val="000000"/>
          <w:szCs w:val="32"/>
          <w:lang w:val="en-US"/>
        </w:rPr>
      </w:pPr>
      <w:r w:rsidRPr="00D9178A">
        <w:rPr>
          <w:rFonts w:eastAsia="MS PGothic"/>
          <w:iCs/>
          <w:color w:val="000000"/>
          <w:szCs w:val="32"/>
          <w:lang w:val="en-US"/>
        </w:rPr>
        <w:t xml:space="preserve"> </w:t>
      </w:r>
      <w:r w:rsidRPr="00D9178A">
        <w:rPr>
          <w:rFonts w:eastAsia="MS PGothic"/>
          <w:b/>
          <w:bCs/>
          <w:iCs/>
          <w:color w:val="000000"/>
          <w:szCs w:val="32"/>
          <w:lang w:val="en-US"/>
        </w:rPr>
        <w:t xml:space="preserve">Results: </w:t>
      </w:r>
      <w:r w:rsidRPr="00D9178A">
        <w:rPr>
          <w:rFonts w:eastAsia="MS PGothic"/>
          <w:iCs/>
          <w:color w:val="000000"/>
          <w:szCs w:val="32"/>
          <w:lang w:val="en-US"/>
        </w:rPr>
        <w:t xml:space="preserve">Our results showed that the combination of </w:t>
      </w:r>
      <w:r w:rsidRPr="00D9178A">
        <w:rPr>
          <w:rFonts w:eastAsia="MS PGothic"/>
          <w:i/>
          <w:iCs/>
          <w:color w:val="000000"/>
          <w:szCs w:val="32"/>
          <w:lang w:val="en-US"/>
        </w:rPr>
        <w:t xml:space="preserve">Artemisia </w:t>
      </w:r>
      <w:proofErr w:type="spellStart"/>
      <w:r w:rsidRPr="00D9178A">
        <w:rPr>
          <w:rFonts w:eastAsia="MS PGothic"/>
          <w:i/>
          <w:iCs/>
          <w:color w:val="000000"/>
          <w:szCs w:val="32"/>
          <w:lang w:val="en-US"/>
        </w:rPr>
        <w:t>annua</w:t>
      </w:r>
      <w:proofErr w:type="spellEnd"/>
      <w:r w:rsidRPr="00D9178A">
        <w:rPr>
          <w:rFonts w:eastAsia="MS PGothic"/>
          <w:i/>
          <w:iCs/>
          <w:color w:val="000000"/>
          <w:szCs w:val="32"/>
          <w:lang w:val="en-US"/>
        </w:rPr>
        <w:t xml:space="preserve"> </w:t>
      </w:r>
      <w:r w:rsidRPr="00D9178A">
        <w:rPr>
          <w:rFonts w:eastAsia="MS PGothic"/>
          <w:iCs/>
          <w:color w:val="000000"/>
          <w:szCs w:val="32"/>
          <w:lang w:val="en-US"/>
        </w:rPr>
        <w:t xml:space="preserve">and VCR caused time and dose-dependent decrease in cell viability and induced apoptosis in both cell lines. Lower doses of VCR and the </w:t>
      </w:r>
      <w:r w:rsidRPr="00D9178A">
        <w:rPr>
          <w:rFonts w:eastAsia="MS PGothic"/>
          <w:color w:val="000000"/>
          <w:szCs w:val="32"/>
          <w:lang w:val="en-US"/>
        </w:rPr>
        <w:t>extract</w:t>
      </w:r>
      <w:r w:rsidRPr="00D9178A">
        <w:rPr>
          <w:rFonts w:eastAsia="MS PGothic"/>
          <w:i/>
          <w:iCs/>
          <w:color w:val="000000"/>
          <w:szCs w:val="32"/>
          <w:lang w:val="en-US"/>
        </w:rPr>
        <w:t xml:space="preserve"> </w:t>
      </w:r>
      <w:r w:rsidRPr="00D9178A">
        <w:rPr>
          <w:rFonts w:eastAsia="MS PGothic"/>
          <w:iCs/>
          <w:color w:val="000000"/>
          <w:szCs w:val="32"/>
          <w:lang w:val="en-US"/>
        </w:rPr>
        <w:t xml:space="preserve">displayed significant synergistic inhibition of Nalm-6 and </w:t>
      </w:r>
      <w:proofErr w:type="spellStart"/>
      <w:r w:rsidRPr="00D9178A">
        <w:rPr>
          <w:rFonts w:eastAsia="MS PGothic"/>
          <w:iCs/>
          <w:color w:val="000000"/>
          <w:szCs w:val="32"/>
          <w:lang w:val="en-US"/>
        </w:rPr>
        <w:t>Reh</w:t>
      </w:r>
      <w:proofErr w:type="spellEnd"/>
      <w:r w:rsidRPr="00D9178A">
        <w:rPr>
          <w:rFonts w:eastAsia="MS PGothic"/>
          <w:iCs/>
          <w:color w:val="000000"/>
          <w:szCs w:val="32"/>
          <w:lang w:val="en-US"/>
        </w:rPr>
        <w:t xml:space="preserve"> cell growth (</w:t>
      </w:r>
      <w:r w:rsidRPr="00D9178A">
        <w:rPr>
          <w:rFonts w:eastAsia="MS PGothic"/>
          <w:color w:val="000000"/>
          <w:szCs w:val="32"/>
          <w:lang w:val="en-US"/>
        </w:rPr>
        <w:t>P&lt;</w:t>
      </w:r>
      <w:r w:rsidRPr="00D9178A">
        <w:rPr>
          <w:rFonts w:eastAsia="MS PGothic"/>
          <w:i/>
          <w:iCs/>
          <w:color w:val="000000"/>
          <w:szCs w:val="32"/>
          <w:lang w:val="en-US"/>
        </w:rPr>
        <w:t xml:space="preserve"> </w:t>
      </w:r>
      <w:r w:rsidRPr="00D9178A">
        <w:rPr>
          <w:rFonts w:eastAsia="MS PGothic"/>
          <w:iCs/>
          <w:color w:val="000000"/>
          <w:szCs w:val="32"/>
          <w:lang w:val="en-US"/>
        </w:rPr>
        <w:t xml:space="preserve">0.001). Interestingly, concurrent use of </w:t>
      </w:r>
      <w:r w:rsidRPr="00D9178A">
        <w:rPr>
          <w:rFonts w:eastAsia="MS PGothic"/>
          <w:i/>
          <w:iCs/>
          <w:color w:val="000000"/>
          <w:szCs w:val="32"/>
          <w:lang w:val="en-US"/>
        </w:rPr>
        <w:t xml:space="preserve">A. </w:t>
      </w:r>
      <w:proofErr w:type="spellStart"/>
      <w:r w:rsidRPr="00D9178A">
        <w:rPr>
          <w:rFonts w:eastAsia="MS PGothic"/>
          <w:i/>
          <w:iCs/>
          <w:color w:val="000000"/>
          <w:szCs w:val="32"/>
          <w:lang w:val="en-US"/>
        </w:rPr>
        <w:t>annua</w:t>
      </w:r>
      <w:proofErr w:type="spellEnd"/>
      <w:r w:rsidRPr="00D9178A">
        <w:rPr>
          <w:rFonts w:eastAsia="MS PGothic"/>
          <w:i/>
          <w:iCs/>
          <w:color w:val="000000"/>
          <w:szCs w:val="32"/>
          <w:lang w:val="en-US"/>
        </w:rPr>
        <w:t xml:space="preserve"> </w:t>
      </w:r>
      <w:r w:rsidRPr="00D9178A">
        <w:rPr>
          <w:rFonts w:eastAsia="MS PGothic"/>
          <w:iCs/>
          <w:color w:val="000000"/>
          <w:szCs w:val="32"/>
          <w:lang w:val="en-US"/>
        </w:rPr>
        <w:t xml:space="preserve">and VCR resulted in </w:t>
      </w:r>
      <w:proofErr w:type="spellStart"/>
      <w:r w:rsidRPr="00D9178A">
        <w:rPr>
          <w:rFonts w:eastAsia="MS PGothic"/>
          <w:iCs/>
          <w:color w:val="000000"/>
          <w:szCs w:val="32"/>
          <w:lang w:val="en-US"/>
        </w:rPr>
        <w:t>Caspase</w:t>
      </w:r>
      <w:proofErr w:type="spellEnd"/>
      <w:r w:rsidRPr="00D9178A">
        <w:rPr>
          <w:rFonts w:eastAsia="MS PGothic"/>
          <w:iCs/>
          <w:color w:val="000000"/>
          <w:szCs w:val="32"/>
          <w:lang w:val="en-US"/>
        </w:rPr>
        <w:t xml:space="preserve"> 3 and </w:t>
      </w:r>
      <w:proofErr w:type="spellStart"/>
      <w:r w:rsidRPr="00D9178A">
        <w:rPr>
          <w:rFonts w:eastAsia="MS PGothic"/>
          <w:iCs/>
          <w:color w:val="000000"/>
          <w:szCs w:val="32"/>
          <w:lang w:val="en-US"/>
        </w:rPr>
        <w:t>Bax</w:t>
      </w:r>
      <w:proofErr w:type="spellEnd"/>
      <w:r w:rsidRPr="00D9178A">
        <w:rPr>
          <w:rFonts w:eastAsia="MS PGothic"/>
          <w:iCs/>
          <w:color w:val="000000"/>
          <w:szCs w:val="32"/>
          <w:lang w:val="en-US"/>
        </w:rPr>
        <w:t xml:space="preserve"> gene </w:t>
      </w:r>
      <w:proofErr w:type="spellStart"/>
      <w:r w:rsidRPr="00D9178A">
        <w:rPr>
          <w:rFonts w:eastAsia="MS PGothic"/>
          <w:iCs/>
          <w:color w:val="000000"/>
          <w:szCs w:val="32"/>
          <w:lang w:val="en-US"/>
        </w:rPr>
        <w:t>upregulation</w:t>
      </w:r>
      <w:proofErr w:type="spellEnd"/>
      <w:r w:rsidRPr="00D9178A">
        <w:rPr>
          <w:rFonts w:eastAsia="MS PGothic"/>
          <w:iCs/>
          <w:color w:val="000000"/>
          <w:szCs w:val="32"/>
          <w:lang w:val="en-US"/>
        </w:rPr>
        <w:t xml:space="preserve"> and Bcl-2 gene </w:t>
      </w:r>
      <w:proofErr w:type="spellStart"/>
      <w:r w:rsidRPr="00D9178A">
        <w:rPr>
          <w:rFonts w:eastAsia="MS PGothic"/>
          <w:iCs/>
          <w:color w:val="000000"/>
          <w:szCs w:val="32"/>
          <w:lang w:val="en-US"/>
        </w:rPr>
        <w:t>downregulation</w:t>
      </w:r>
      <w:proofErr w:type="spellEnd"/>
      <w:r w:rsidRPr="00D9178A">
        <w:rPr>
          <w:rFonts w:eastAsia="MS PGothic"/>
          <w:iCs/>
          <w:color w:val="000000"/>
          <w:szCs w:val="32"/>
          <w:lang w:val="en-US"/>
        </w:rPr>
        <w:t xml:space="preserve"> (P&lt; 0.05). </w:t>
      </w:r>
    </w:p>
    <w:p w:rsidR="001471C9" w:rsidRPr="00D9178A" w:rsidRDefault="001471C9" w:rsidP="001471C9">
      <w:pPr>
        <w:jc w:val="both"/>
        <w:rPr>
          <w:rFonts w:eastAsia="MS PGothic"/>
          <w:iCs/>
          <w:color w:val="000000"/>
          <w:szCs w:val="32"/>
          <w:lang w:val="en-US"/>
        </w:rPr>
      </w:pPr>
      <w:r w:rsidRPr="00D9178A">
        <w:rPr>
          <w:rFonts w:eastAsia="MS PGothic"/>
          <w:b/>
          <w:bCs/>
          <w:iCs/>
          <w:color w:val="000000"/>
          <w:szCs w:val="32"/>
          <w:lang w:val="en-US"/>
        </w:rPr>
        <w:t>Conclusion:</w:t>
      </w:r>
      <w:r w:rsidRPr="00D9178A">
        <w:rPr>
          <w:rFonts w:eastAsia="MS PGothic"/>
          <w:iCs/>
          <w:color w:val="000000"/>
          <w:szCs w:val="32"/>
          <w:lang w:val="en-US"/>
        </w:rPr>
        <w:t xml:space="preserve"> From the results presented here, the extract of </w:t>
      </w:r>
      <w:r w:rsidRPr="00D9178A">
        <w:rPr>
          <w:rFonts w:eastAsia="MS PGothic"/>
          <w:i/>
          <w:iCs/>
          <w:color w:val="000000"/>
          <w:szCs w:val="32"/>
          <w:lang w:val="en-US"/>
        </w:rPr>
        <w:t xml:space="preserve">Artemisia </w:t>
      </w:r>
      <w:proofErr w:type="spellStart"/>
      <w:r w:rsidRPr="00D9178A">
        <w:rPr>
          <w:rFonts w:eastAsia="MS PGothic"/>
          <w:i/>
          <w:iCs/>
          <w:color w:val="000000"/>
          <w:szCs w:val="32"/>
          <w:lang w:val="en-US"/>
        </w:rPr>
        <w:t>annua</w:t>
      </w:r>
      <w:proofErr w:type="spellEnd"/>
      <w:r w:rsidRPr="00D9178A">
        <w:rPr>
          <w:rFonts w:eastAsia="MS PGothic"/>
          <w:i/>
          <w:iCs/>
          <w:color w:val="000000"/>
          <w:szCs w:val="32"/>
          <w:lang w:val="en-US"/>
        </w:rPr>
        <w:t xml:space="preserve"> </w:t>
      </w:r>
      <w:r w:rsidRPr="00D9178A">
        <w:rPr>
          <w:rFonts w:eastAsia="MS PGothic"/>
          <w:iCs/>
          <w:color w:val="000000"/>
          <w:szCs w:val="32"/>
          <w:lang w:val="en-US"/>
        </w:rPr>
        <w:t xml:space="preserve">substantially increased sensitivity of leukemic cells to VCR, suggesting that this combination could potentially decrease VCR drug side effects. </w:t>
      </w:r>
    </w:p>
    <w:p w:rsidR="00B66013" w:rsidRDefault="00B66013"/>
    <w:sectPr w:rsidR="00B660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1C9"/>
    <w:rsid w:val="001471C9"/>
    <w:rsid w:val="0028481E"/>
    <w:rsid w:val="00B660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1C9"/>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1C9"/>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340</Words>
  <Characters>1939</Characters>
  <Application>Microsoft Office Word</Application>
  <DocSecurity>0</DocSecurity>
  <Lines>16</Lines>
  <Paragraphs>4</Paragraphs>
  <ScaleCrop>false</ScaleCrop>
  <Company/>
  <LinksUpToDate>false</LinksUpToDate>
  <CharactersWithSpaces>2275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aze2</dc:creator>
  <cp:lastModifiedBy>aze2</cp:lastModifiedBy>
  <cp:revision>2</cp:revision>
  <dcterms:created xsi:type="dcterms:W3CDTF">2017-10-03T05:18:00Z</dcterms:created>
  <dcterms:modified xsi:type="dcterms:W3CDTF">2017-10-04T07:17:00Z</dcterms:modified>
</cp:coreProperties>
</file>