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813" w:rsidRPr="00CD6A2D" w:rsidRDefault="00C47813" w:rsidP="00C47813">
      <w:pPr>
        <w:spacing w:after="211"/>
        <w:jc w:val="center"/>
        <w:rPr>
          <w:rFonts w:asciiTheme="majorBidi" w:hAnsiTheme="majorBidi" w:cstheme="majorBidi"/>
          <w:b/>
          <w:bCs/>
          <w:color w:val="000000"/>
          <w:sz w:val="24"/>
          <w:szCs w:val="24"/>
        </w:rPr>
      </w:pPr>
      <w:r w:rsidRPr="00CD6A2D">
        <w:rPr>
          <w:rFonts w:asciiTheme="majorBidi" w:hAnsiTheme="majorBidi" w:cstheme="majorBidi"/>
          <w:b/>
          <w:bCs/>
          <w:color w:val="000000"/>
          <w:sz w:val="24"/>
          <w:szCs w:val="24"/>
        </w:rPr>
        <w:t xml:space="preserve">Overexpression of </w:t>
      </w:r>
      <w:r w:rsidRPr="00CD6A2D">
        <w:rPr>
          <w:rFonts w:asciiTheme="majorBidi" w:hAnsiTheme="majorBidi" w:cstheme="majorBidi"/>
          <w:b/>
          <w:bCs/>
          <w:sz w:val="24"/>
          <w:szCs w:val="24"/>
        </w:rPr>
        <w:t xml:space="preserve">Cofactor of BRCA1 in HepG2 Cells: A Step </w:t>
      </w:r>
      <w:proofErr w:type="gramStart"/>
      <w:r w:rsidRPr="00CD6A2D">
        <w:rPr>
          <w:rFonts w:asciiTheme="majorBidi" w:hAnsiTheme="majorBidi" w:cstheme="majorBidi"/>
          <w:b/>
          <w:bCs/>
          <w:sz w:val="24"/>
          <w:szCs w:val="24"/>
        </w:rPr>
        <w:t>Towards</w:t>
      </w:r>
      <w:proofErr w:type="gramEnd"/>
      <w:r w:rsidRPr="00CD6A2D">
        <w:rPr>
          <w:rFonts w:asciiTheme="majorBidi" w:hAnsiTheme="majorBidi" w:cstheme="majorBidi"/>
          <w:b/>
          <w:bCs/>
          <w:sz w:val="24"/>
          <w:szCs w:val="24"/>
        </w:rPr>
        <w:t xml:space="preserve"> Understanding the Role of COBRA1 in Hepatocellular Carcinoma</w:t>
      </w:r>
    </w:p>
    <w:p w:rsidR="00C47813" w:rsidRPr="00CD6A2D" w:rsidRDefault="00C47813" w:rsidP="00207CAC">
      <w:pPr>
        <w:ind w:left="2160" w:right="-1039" w:firstLine="720"/>
        <w:outlineLvl w:val="0"/>
        <w:rPr>
          <w:rFonts w:asciiTheme="majorBidi" w:eastAsia="MS PGothic" w:hAnsiTheme="majorBidi" w:cstheme="majorBidi"/>
          <w:b/>
          <w:bCs/>
          <w:color w:val="000000"/>
        </w:rPr>
      </w:pPr>
      <w:r w:rsidRPr="00CD6A2D">
        <w:rPr>
          <w:rFonts w:asciiTheme="majorBidi" w:eastAsia="MS PGothic" w:hAnsiTheme="majorBidi" w:cstheme="majorBidi"/>
          <w:b/>
          <w:bCs/>
          <w:color w:val="000000"/>
        </w:rPr>
        <w:t>Razan Masad</w:t>
      </w:r>
      <w:r w:rsidRPr="000904C2">
        <w:rPr>
          <w:rFonts w:asciiTheme="majorBidi" w:eastAsia="MS PGothic" w:hAnsiTheme="majorBidi" w:cstheme="majorBidi"/>
          <w:b/>
          <w:bCs/>
          <w:color w:val="000000"/>
          <w:vertAlign w:val="superscript"/>
        </w:rPr>
        <w:t>1</w:t>
      </w:r>
      <w:proofErr w:type="gramStart"/>
      <w:r w:rsidRPr="00CD6A2D">
        <w:rPr>
          <w:rFonts w:asciiTheme="majorBidi" w:eastAsia="MS PGothic" w:hAnsiTheme="majorBidi" w:cstheme="majorBidi"/>
          <w:b/>
          <w:bCs/>
          <w:color w:val="000000"/>
          <w:vertAlign w:val="subscript"/>
        </w:rPr>
        <w:t>,</w:t>
      </w:r>
      <w:r w:rsidRPr="00CD6A2D">
        <w:rPr>
          <w:rFonts w:asciiTheme="majorBidi" w:eastAsia="MS PGothic" w:hAnsiTheme="majorBidi" w:cstheme="majorBidi"/>
          <w:b/>
          <w:bCs/>
          <w:color w:val="000000"/>
        </w:rPr>
        <w:t>Asma</w:t>
      </w:r>
      <w:proofErr w:type="gramEnd"/>
      <w:r w:rsidRPr="00CD6A2D">
        <w:rPr>
          <w:rFonts w:asciiTheme="majorBidi" w:eastAsia="MS PGothic" w:hAnsiTheme="majorBidi" w:cstheme="majorBidi"/>
          <w:b/>
          <w:bCs/>
          <w:color w:val="000000"/>
        </w:rPr>
        <w:t xml:space="preserve"> Amleh</w:t>
      </w:r>
      <w:r w:rsidRPr="000904C2">
        <w:rPr>
          <w:rFonts w:asciiTheme="majorBidi" w:eastAsia="MS PGothic" w:hAnsiTheme="majorBidi" w:cstheme="majorBidi"/>
          <w:b/>
          <w:bCs/>
          <w:color w:val="000000"/>
          <w:vertAlign w:val="superscript"/>
        </w:rPr>
        <w:t>1,2*</w:t>
      </w:r>
    </w:p>
    <w:p w:rsidR="00C47813" w:rsidRPr="00CD6A2D" w:rsidRDefault="00C47813" w:rsidP="00207CAC">
      <w:pPr>
        <w:ind w:left="720" w:right="-1039"/>
        <w:outlineLvl w:val="0"/>
        <w:rPr>
          <w:rFonts w:asciiTheme="majorBidi" w:hAnsiTheme="majorBidi" w:cstheme="majorBidi"/>
          <w:sz w:val="20"/>
          <w:szCs w:val="20"/>
        </w:rPr>
      </w:pPr>
      <w:r w:rsidRPr="00CD6A2D">
        <w:rPr>
          <w:rFonts w:asciiTheme="majorBidi" w:hAnsiTheme="majorBidi" w:cstheme="majorBidi"/>
          <w:sz w:val="20"/>
          <w:szCs w:val="20"/>
          <w:vertAlign w:val="superscript"/>
        </w:rPr>
        <w:t>1</w:t>
      </w:r>
      <w:r w:rsidRPr="00CD6A2D">
        <w:rPr>
          <w:rFonts w:asciiTheme="majorBidi" w:hAnsiTheme="majorBidi" w:cstheme="majorBidi"/>
          <w:sz w:val="20"/>
          <w:szCs w:val="20"/>
        </w:rPr>
        <w:t xml:space="preserve"> Biotechnology Program, American University in Cairo, New Cairo, Egypt </w:t>
      </w:r>
    </w:p>
    <w:p w:rsidR="00C47813" w:rsidRPr="00CD6A2D" w:rsidRDefault="00C47813" w:rsidP="00C47813">
      <w:pPr>
        <w:ind w:right="-1039"/>
        <w:rPr>
          <w:rFonts w:asciiTheme="majorBidi" w:hAnsiTheme="majorBidi" w:cstheme="majorBidi"/>
          <w:sz w:val="20"/>
          <w:szCs w:val="20"/>
        </w:rPr>
      </w:pPr>
      <w:r w:rsidRPr="00CD6A2D">
        <w:rPr>
          <w:rFonts w:asciiTheme="majorBidi" w:hAnsiTheme="majorBidi" w:cstheme="majorBidi"/>
          <w:sz w:val="20"/>
          <w:szCs w:val="20"/>
          <w:vertAlign w:val="superscript"/>
        </w:rPr>
        <w:t xml:space="preserve">                            2</w:t>
      </w:r>
      <w:r w:rsidRPr="00CD6A2D">
        <w:rPr>
          <w:rFonts w:asciiTheme="majorBidi" w:hAnsiTheme="majorBidi" w:cstheme="majorBidi"/>
          <w:sz w:val="20"/>
          <w:szCs w:val="20"/>
        </w:rPr>
        <w:t xml:space="preserve"> Department of Biology, American University in Cairo, New </w:t>
      </w:r>
      <w:r w:rsidR="002E15A2" w:rsidRPr="00CD6A2D">
        <w:rPr>
          <w:rFonts w:asciiTheme="majorBidi" w:hAnsiTheme="majorBidi" w:cstheme="majorBidi"/>
          <w:sz w:val="20"/>
          <w:szCs w:val="20"/>
        </w:rPr>
        <w:t>Cairo, Egypt</w:t>
      </w:r>
    </w:p>
    <w:p w:rsidR="00C47813" w:rsidRDefault="000625C1" w:rsidP="00C47813">
      <w:pPr>
        <w:ind w:right="-1039"/>
        <w:rPr>
          <w:rFonts w:asciiTheme="majorBidi" w:hAnsiTheme="majorBidi" w:cstheme="majorBidi"/>
          <w:sz w:val="20"/>
          <w:szCs w:val="20"/>
        </w:rPr>
      </w:pPr>
      <w:r w:rsidRPr="000625C1">
        <w:rPr>
          <w:rFonts w:asciiTheme="majorBidi" w:hAnsiTheme="majorBidi" w:cstheme="majorBidi"/>
          <w:noProof/>
          <w:sz w:val="24"/>
          <w:szCs w:val="24"/>
          <w:highlight w:val="yellow"/>
          <w:lang w:val="en-US"/>
        </w:rPr>
        <w:pict>
          <v:line id="Straight Connector 13" o:spid="_x0000_s1026" style="position:absolute;z-index:251659264;visibility:visible;mso-position-horizontal-relative:margin;mso-width-relative:margin;mso-height-relative:margin" from="-7pt,14.8pt" to="483pt,15.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" strokecolor="black [3213]">
            <v:stroke joinstyle="miter"/>
            <o:lock v:ext="edit" shapetype="f"/>
            <w10:wrap anchorx="margin"/>
          </v:line>
        </w:pict>
      </w:r>
      <w:r w:rsidR="00C47813" w:rsidRPr="00CD6A2D">
        <w:rPr>
          <w:rFonts w:asciiTheme="majorBidi" w:hAnsiTheme="majorBidi" w:cstheme="majorBidi"/>
          <w:sz w:val="20"/>
          <w:szCs w:val="20"/>
        </w:rPr>
        <w:t xml:space="preserve">*Correspondence to: </w:t>
      </w:r>
      <w:proofErr w:type="spellStart"/>
      <w:r w:rsidR="00C47813" w:rsidRPr="00CD6A2D">
        <w:rPr>
          <w:rFonts w:asciiTheme="majorBidi" w:hAnsiTheme="majorBidi" w:cstheme="majorBidi"/>
          <w:sz w:val="20"/>
          <w:szCs w:val="20"/>
        </w:rPr>
        <w:t>AsmaAmleh</w:t>
      </w:r>
      <w:proofErr w:type="spellEnd"/>
      <w:r w:rsidR="00C47813" w:rsidRPr="00CD6A2D">
        <w:rPr>
          <w:rFonts w:asciiTheme="majorBidi" w:hAnsiTheme="majorBidi" w:cstheme="majorBidi"/>
          <w:sz w:val="20"/>
          <w:szCs w:val="20"/>
        </w:rPr>
        <w:t xml:space="preserve">, The American University in Cairo, New Cairo 11835, Egypt; </w:t>
      </w:r>
      <w:hyperlink r:id="rId4" w:history="1">
        <w:r w:rsidR="00C47813" w:rsidRPr="004E4EEF">
          <w:rPr>
            <w:rStyle w:val="Hyperlink"/>
            <w:rFonts w:asciiTheme="majorBidi" w:hAnsiTheme="majorBidi" w:cstheme="majorBidi"/>
            <w:sz w:val="20"/>
            <w:szCs w:val="20"/>
          </w:rPr>
          <w:t>aamleh@aucegypt.edu</w:t>
        </w:r>
      </w:hyperlink>
    </w:p>
    <w:p w:rsidR="00C47813" w:rsidRPr="005C5EFF" w:rsidRDefault="00C47813" w:rsidP="00C47813">
      <w:pPr>
        <w:pStyle w:val="CommentText"/>
        <w:spacing w:after="0"/>
        <w:contextualSpacing/>
        <w:jc w:val="both"/>
        <w:rPr>
          <w:rFonts w:asciiTheme="majorBidi" w:hAnsiTheme="majorBidi" w:cstheme="majorBidi"/>
          <w:color w:val="FF0000"/>
          <w:highlight w:val="yellow"/>
          <w:shd w:val="clear" w:color="auto" w:fill="FFFFFF"/>
        </w:rPr>
      </w:pPr>
      <w:r w:rsidRPr="000904C2">
        <w:rPr>
          <w:rFonts w:asciiTheme="majorBidi" w:hAnsiTheme="majorBidi" w:cstheme="majorBidi"/>
          <w:b/>
          <w:bCs/>
          <w:i/>
          <w:iCs/>
        </w:rPr>
        <w:t>Abstract</w:t>
      </w:r>
      <w:r>
        <w:rPr>
          <w:rFonts w:asciiTheme="majorBidi" w:hAnsiTheme="majorBidi" w:cstheme="majorBidi"/>
          <w:b/>
          <w:bCs/>
        </w:rPr>
        <w:t xml:space="preserve">: </w:t>
      </w:r>
      <w:bookmarkStart w:id="0" w:name="_GoBack"/>
      <w:r w:rsidRPr="00A95497">
        <w:rPr>
          <w:rFonts w:asciiTheme="majorBidi" w:hAnsiTheme="majorBidi" w:cstheme="majorBidi"/>
          <w:color w:val="000000" w:themeColor="text1"/>
        </w:rPr>
        <w:t xml:space="preserve">Cofactor of BRCA1 (COBRA1) is a BRCA-1 interacting protein that represents one of the four subunits of the negative elongation factor (NELF) complex. </w:t>
      </w:r>
      <w:r w:rsidRPr="00E17D7F">
        <w:rPr>
          <w:rFonts w:asciiTheme="majorBidi" w:hAnsiTheme="majorBidi" w:cstheme="majorBidi"/>
          <w:color w:val="000000" w:themeColor="text1"/>
        </w:rPr>
        <w:t>NELF is known by its ability to stall RNA Polymerase II during the early phase of transcription elongation, resulting in repressed transcription of several genes including ones associated with tumorigenesis of different cancer types. While it was found to be down-regulated in breast cancer, COBRA1 was found to be up-regulated in the upper gastrointestinal carc</w:t>
      </w:r>
      <w:r>
        <w:rPr>
          <w:rFonts w:asciiTheme="majorBidi" w:hAnsiTheme="majorBidi" w:cstheme="majorBidi"/>
          <w:color w:val="000000" w:themeColor="text1"/>
        </w:rPr>
        <w:t>inoma</w:t>
      </w:r>
      <w:r w:rsidR="00207CAC">
        <w:rPr>
          <w:rFonts w:asciiTheme="majorBidi" w:hAnsiTheme="majorBidi" w:cstheme="majorBidi"/>
          <w:color w:val="000000" w:themeColor="text1"/>
        </w:rPr>
        <w:t xml:space="preserve"> and </w:t>
      </w:r>
      <w:r w:rsidRPr="002E15A2">
        <w:rPr>
          <w:rFonts w:asciiTheme="majorBidi" w:hAnsiTheme="majorBidi" w:cstheme="majorBidi"/>
          <w:color w:val="000000" w:themeColor="text1"/>
        </w:rPr>
        <w:t>hepatocellular carcinoma</w:t>
      </w:r>
      <w:r w:rsidR="00324B75" w:rsidRPr="002E15A2">
        <w:rPr>
          <w:rFonts w:asciiTheme="majorBidi" w:hAnsiTheme="majorBidi" w:cstheme="majorBidi"/>
          <w:color w:val="000000" w:themeColor="text1"/>
        </w:rPr>
        <w:t xml:space="preserve"> (HCC</w:t>
      </w:r>
      <w:r w:rsidR="002E15A2">
        <w:rPr>
          <w:rFonts w:asciiTheme="majorBidi" w:hAnsiTheme="majorBidi" w:cstheme="majorBidi"/>
          <w:color w:val="000000" w:themeColor="text1"/>
        </w:rPr>
        <w:t xml:space="preserve">). </w:t>
      </w:r>
      <w:r w:rsidRPr="002E15A2">
        <w:rPr>
          <w:rFonts w:asciiTheme="majorBidi" w:hAnsiTheme="majorBidi" w:cstheme="majorBidi"/>
          <w:color w:val="000000"/>
          <w:shd w:val="clear" w:color="auto" w:fill="FFFFFF"/>
        </w:rPr>
        <w:t xml:space="preserve">In the current study, we aimed to elucidate the </w:t>
      </w:r>
      <w:r w:rsidR="00DD060C" w:rsidRPr="002E15A2">
        <w:rPr>
          <w:rFonts w:asciiTheme="majorBidi" w:hAnsiTheme="majorBidi" w:cstheme="majorBidi"/>
          <w:color w:val="000000"/>
          <w:shd w:val="clear" w:color="auto" w:fill="FFFFFF"/>
        </w:rPr>
        <w:t>significance of COBRA1 overexpression in HCC</w:t>
      </w:r>
      <w:r w:rsidR="00324B75" w:rsidRPr="002E15A2">
        <w:rPr>
          <w:rFonts w:asciiTheme="majorBidi" w:hAnsiTheme="majorBidi" w:cstheme="majorBidi"/>
          <w:color w:val="000000"/>
          <w:shd w:val="clear" w:color="auto" w:fill="FFFFFF"/>
        </w:rPr>
        <w:t xml:space="preserve"> further</w:t>
      </w:r>
      <w:r w:rsidR="00DD060C" w:rsidRPr="002E15A2">
        <w:rPr>
          <w:rFonts w:asciiTheme="majorBidi" w:hAnsiTheme="majorBidi" w:cstheme="majorBidi"/>
          <w:color w:val="000000"/>
          <w:shd w:val="clear" w:color="auto" w:fill="FFFFFF"/>
        </w:rPr>
        <w:t>.</w:t>
      </w:r>
      <w:r w:rsidR="002E15A2">
        <w:rPr>
          <w:rFonts w:asciiTheme="majorBidi" w:hAnsiTheme="majorBidi" w:cstheme="majorBidi"/>
          <w:color w:val="000000" w:themeColor="text1"/>
        </w:rPr>
        <w:t xml:space="preserve"> </w:t>
      </w:r>
      <w:r w:rsidR="00DD060C" w:rsidRPr="002E15A2">
        <w:rPr>
          <w:rFonts w:asciiTheme="majorBidi" w:hAnsiTheme="majorBidi" w:cstheme="majorBidi"/>
          <w:color w:val="000000" w:themeColor="text1"/>
        </w:rPr>
        <w:t xml:space="preserve">HepG2 cells were transfected with a pCMV5-HCOBRA1 plasmid. </w:t>
      </w:r>
      <w:r w:rsidR="00DD060C" w:rsidRPr="002E15A2">
        <w:rPr>
          <w:rFonts w:asciiTheme="majorBidi" w:hAnsiTheme="majorBidi" w:cstheme="majorBidi"/>
        </w:rPr>
        <w:t xml:space="preserve">The ectopic expression of COBRA1 was confirmed at the RNA and protein </w:t>
      </w:r>
      <w:r w:rsidR="002E15A2" w:rsidRPr="002E15A2">
        <w:rPr>
          <w:rFonts w:asciiTheme="majorBidi" w:hAnsiTheme="majorBidi" w:cstheme="majorBidi"/>
        </w:rPr>
        <w:t>levels. The</w:t>
      </w:r>
      <w:r w:rsidRPr="002E15A2">
        <w:rPr>
          <w:rFonts w:asciiTheme="majorBidi" w:hAnsiTheme="majorBidi" w:cstheme="majorBidi"/>
          <w:color w:val="000000" w:themeColor="text1"/>
        </w:rPr>
        <w:t xml:space="preserve"> cells proliferation and migration following COBRA1 overexpression were assessed using the trypan blue</w:t>
      </w:r>
      <w:r w:rsidRPr="00AB147B">
        <w:rPr>
          <w:rFonts w:asciiTheme="majorBidi" w:hAnsiTheme="majorBidi" w:cstheme="majorBidi"/>
          <w:color w:val="000000" w:themeColor="text1"/>
        </w:rPr>
        <w:t xml:space="preserve"> dye exclusion method and the wound-healing assays respectively. The semi-quantitative RT-PCR was used to analyse the </w:t>
      </w:r>
      <w:r w:rsidR="00321D0D">
        <w:rPr>
          <w:rFonts w:asciiTheme="majorBidi" w:hAnsiTheme="majorBidi" w:cstheme="majorBidi"/>
          <w:color w:val="000000" w:themeColor="text1"/>
        </w:rPr>
        <w:t xml:space="preserve">expression of </w:t>
      </w:r>
      <w:r w:rsidRPr="00AB147B">
        <w:rPr>
          <w:rFonts w:asciiTheme="majorBidi" w:hAnsiTheme="majorBidi" w:cstheme="majorBidi"/>
          <w:color w:val="000000" w:themeColor="text1"/>
        </w:rPr>
        <w:t xml:space="preserve">mRNA </w:t>
      </w:r>
      <w:r w:rsidR="00321D0D">
        <w:rPr>
          <w:rFonts w:asciiTheme="majorBidi" w:hAnsiTheme="majorBidi" w:cstheme="majorBidi"/>
          <w:color w:val="000000" w:themeColor="text1"/>
        </w:rPr>
        <w:t xml:space="preserve">steady-state levels </w:t>
      </w:r>
      <w:r w:rsidRPr="00AB147B">
        <w:rPr>
          <w:rFonts w:asciiTheme="majorBidi" w:hAnsiTheme="majorBidi" w:cstheme="majorBidi"/>
          <w:color w:val="000000" w:themeColor="text1"/>
        </w:rPr>
        <w:t xml:space="preserve">of </w:t>
      </w:r>
      <w:r>
        <w:rPr>
          <w:rFonts w:asciiTheme="majorBidi" w:hAnsiTheme="majorBidi" w:cstheme="majorBidi"/>
          <w:color w:val="000000" w:themeColor="text1"/>
        </w:rPr>
        <w:t xml:space="preserve">COBRA1, </w:t>
      </w:r>
      <w:r w:rsidRPr="00AB147B">
        <w:rPr>
          <w:rFonts w:asciiTheme="majorBidi" w:hAnsiTheme="majorBidi" w:cstheme="majorBidi"/>
          <w:color w:val="000000" w:themeColor="text1"/>
        </w:rPr>
        <w:t xml:space="preserve">the </w:t>
      </w:r>
      <w:r>
        <w:rPr>
          <w:rFonts w:asciiTheme="majorBidi" w:hAnsiTheme="majorBidi" w:cstheme="majorBidi"/>
          <w:color w:val="000000" w:themeColor="text1"/>
        </w:rPr>
        <w:t>remaining</w:t>
      </w:r>
      <w:r w:rsidRPr="00AB147B">
        <w:rPr>
          <w:rFonts w:asciiTheme="majorBidi" w:hAnsiTheme="majorBidi" w:cstheme="majorBidi"/>
          <w:color w:val="000000" w:themeColor="text1"/>
        </w:rPr>
        <w:t xml:space="preserve"> NELF subunits, TFF1 and TFF3 </w:t>
      </w:r>
      <w:r w:rsidR="002E15A2" w:rsidRPr="00AB147B">
        <w:rPr>
          <w:rFonts w:asciiTheme="majorBidi" w:hAnsiTheme="majorBidi" w:cstheme="majorBidi"/>
          <w:color w:val="000000" w:themeColor="text1"/>
        </w:rPr>
        <w:t>genes, as</w:t>
      </w:r>
      <w:r w:rsidRPr="00AB147B">
        <w:rPr>
          <w:rFonts w:asciiTheme="majorBidi" w:hAnsiTheme="majorBidi" w:cstheme="majorBidi"/>
          <w:color w:val="000000" w:themeColor="text1"/>
        </w:rPr>
        <w:t xml:space="preserve"> well as other tumorigenesis related genes. Our results revealed that COBRA1 transfected cells exhibited a comparable proliferation and migration rates to non-transfected cells. These results were accompanied by an insignificant effect of COBRA1 overexpression on the levels of the proliferation marker; Ki-67 and the anti-apoptotic gene; survivin. Also, the mRNA levels of the other NELF subunits, TFF1 and TFF3 were found to be comparable among all the tested </w:t>
      </w:r>
      <w:r w:rsidR="002E15A2" w:rsidRPr="00AB147B">
        <w:rPr>
          <w:rFonts w:asciiTheme="majorBidi" w:hAnsiTheme="majorBidi" w:cstheme="majorBidi"/>
          <w:color w:val="000000" w:themeColor="text1"/>
        </w:rPr>
        <w:t>groups.</w:t>
      </w:r>
      <w:r w:rsidR="002E15A2" w:rsidRPr="00A95497">
        <w:rPr>
          <w:rFonts w:asciiTheme="majorBidi" w:hAnsiTheme="majorBidi" w:cstheme="majorBidi"/>
          <w:color w:val="000000" w:themeColor="text1"/>
        </w:rPr>
        <w:t xml:space="preserve"> Collectively</w:t>
      </w:r>
      <w:r w:rsidRPr="00A95497">
        <w:rPr>
          <w:rFonts w:asciiTheme="majorBidi" w:hAnsiTheme="majorBidi" w:cstheme="majorBidi"/>
          <w:color w:val="000000" w:themeColor="text1"/>
        </w:rPr>
        <w:t>, our results suggest that the proposed involvement of COBRA1 in HCC is supported by and depend</w:t>
      </w:r>
      <w:r>
        <w:rPr>
          <w:rFonts w:asciiTheme="majorBidi" w:hAnsiTheme="majorBidi" w:cstheme="majorBidi"/>
          <w:color w:val="000000" w:themeColor="text1"/>
        </w:rPr>
        <w:t>e</w:t>
      </w:r>
      <w:r w:rsidRPr="00A95497">
        <w:rPr>
          <w:rFonts w:asciiTheme="majorBidi" w:hAnsiTheme="majorBidi" w:cstheme="majorBidi"/>
          <w:color w:val="000000" w:themeColor="text1"/>
        </w:rPr>
        <w:t xml:space="preserve">nt on the </w:t>
      </w:r>
      <w:r>
        <w:rPr>
          <w:rFonts w:asciiTheme="majorBidi" w:hAnsiTheme="majorBidi" w:cstheme="majorBidi"/>
          <w:color w:val="000000" w:themeColor="text1"/>
        </w:rPr>
        <w:t xml:space="preserve">assembly of the active NELF complex, which requires the </w:t>
      </w:r>
      <w:r w:rsidRPr="00A95497">
        <w:rPr>
          <w:rFonts w:asciiTheme="majorBidi" w:hAnsiTheme="majorBidi" w:cstheme="majorBidi"/>
          <w:color w:val="000000" w:themeColor="text1"/>
        </w:rPr>
        <w:t xml:space="preserve">expression of </w:t>
      </w:r>
      <w:r>
        <w:rPr>
          <w:rFonts w:asciiTheme="majorBidi" w:hAnsiTheme="majorBidi" w:cstheme="majorBidi"/>
          <w:color w:val="000000" w:themeColor="text1"/>
          <w:shd w:val="clear" w:color="auto" w:fill="FFFFFF"/>
        </w:rPr>
        <w:t>all four</w:t>
      </w:r>
      <w:r w:rsidRPr="00A95497">
        <w:rPr>
          <w:rFonts w:asciiTheme="majorBidi" w:hAnsiTheme="majorBidi" w:cstheme="majorBidi"/>
          <w:color w:val="000000" w:themeColor="text1"/>
          <w:shd w:val="clear" w:color="auto" w:fill="FFFFFF"/>
        </w:rPr>
        <w:t xml:space="preserve"> NELF subunits. Moreover, COBRA1 mediated role in HCC tumorigenesis might be due to mechanisms and regulatory pathways other than the ones examined here. </w:t>
      </w:r>
      <w:r>
        <w:rPr>
          <w:rFonts w:asciiTheme="majorBidi" w:hAnsiTheme="majorBidi" w:cstheme="majorBidi"/>
          <w:color w:val="000000" w:themeColor="text1"/>
          <w:shd w:val="clear" w:color="auto" w:fill="FFFFFF"/>
        </w:rPr>
        <w:t>However</w:t>
      </w:r>
      <w:r w:rsidRPr="00A95497">
        <w:rPr>
          <w:rFonts w:asciiTheme="majorBidi" w:hAnsiTheme="majorBidi" w:cstheme="majorBidi"/>
          <w:color w:val="000000" w:themeColor="text1"/>
          <w:shd w:val="clear" w:color="auto" w:fill="FFFFFF"/>
        </w:rPr>
        <w:t>, further studies are required to confirm these notions.</w:t>
      </w:r>
      <w:bookmarkEnd w:id="0"/>
    </w:p>
    <w:p w:rsidR="00C47813" w:rsidRDefault="00C47813" w:rsidP="00C47813">
      <w:pPr>
        <w:pStyle w:val="CommentText"/>
        <w:spacing w:after="0"/>
        <w:jc w:val="both"/>
        <w:rPr>
          <w:rFonts w:asciiTheme="majorBidi" w:hAnsiTheme="majorBidi" w:cstheme="majorBidi"/>
          <w:color w:val="000000" w:themeColor="text1"/>
          <w:shd w:val="clear" w:color="auto" w:fill="FFFFFF"/>
        </w:rPr>
      </w:pPr>
    </w:p>
    <w:p w:rsidR="002407D3" w:rsidRDefault="002407D3"/>
    <w:sectPr w:rsidR="002407D3" w:rsidSect="009B3661">
      <w:pgSz w:w="11906" w:h="16838"/>
      <w:pgMar w:top="1418" w:right="1440" w:bottom="1418" w:left="1440" w:header="709" w:footer="709"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46C0409" w15:done="0"/>
</w15:commentsEx>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grammar="clean"/>
  <w:defaultTabStop w:val="720"/>
  <w:drawingGridHorizontalSpacing w:val="110"/>
  <w:displayHorizontalDrawingGridEvery w:val="2"/>
  <w:characterSpacingControl w:val="doNotCompress"/>
  <w:compat/>
  <w:rsids>
    <w:rsidRoot w:val="00C47813"/>
    <w:rsid w:val="000142F8"/>
    <w:rsid w:val="000625C1"/>
    <w:rsid w:val="00207CAC"/>
    <w:rsid w:val="002407D3"/>
    <w:rsid w:val="00256C03"/>
    <w:rsid w:val="002E15A2"/>
    <w:rsid w:val="00321D0D"/>
    <w:rsid w:val="00324B75"/>
    <w:rsid w:val="003924EE"/>
    <w:rsid w:val="00426A8A"/>
    <w:rsid w:val="004F73C5"/>
    <w:rsid w:val="009B3661"/>
    <w:rsid w:val="00C230D2"/>
    <w:rsid w:val="00C47813"/>
    <w:rsid w:val="00C74B83"/>
    <w:rsid w:val="00DD060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813"/>
  </w:style>
  <w:style w:type="paragraph" w:styleId="Heading5">
    <w:name w:val="heading 5"/>
    <w:basedOn w:val="Normal"/>
    <w:next w:val="Normal"/>
    <w:link w:val="Heading5Char"/>
    <w:uiPriority w:val="9"/>
    <w:semiHidden/>
    <w:unhideWhenUsed/>
    <w:qFormat/>
    <w:rsid w:val="003924EE"/>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Heading5"/>
    <w:next w:val="Normal"/>
    <w:uiPriority w:val="99"/>
    <w:semiHidden/>
    <w:unhideWhenUsed/>
    <w:qFormat/>
    <w:rsid w:val="003924EE"/>
    <w:rPr>
      <w:rFonts w:asciiTheme="majorBidi" w:hAnsiTheme="majorBidi"/>
      <w:b/>
      <w:bCs/>
      <w:color w:val="auto"/>
      <w:sz w:val="20"/>
    </w:rPr>
  </w:style>
  <w:style w:type="character" w:customStyle="1" w:styleId="Heading5Char">
    <w:name w:val="Heading 5 Char"/>
    <w:basedOn w:val="DefaultParagraphFont"/>
    <w:link w:val="Heading5"/>
    <w:uiPriority w:val="9"/>
    <w:semiHidden/>
    <w:rsid w:val="003924EE"/>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C47813"/>
    <w:rPr>
      <w:color w:val="0563C1" w:themeColor="hyperlink"/>
      <w:u w:val="single"/>
    </w:rPr>
  </w:style>
  <w:style w:type="paragraph" w:styleId="CommentText">
    <w:name w:val="annotation text"/>
    <w:basedOn w:val="Normal"/>
    <w:link w:val="CommentTextChar"/>
    <w:uiPriority w:val="99"/>
    <w:unhideWhenUsed/>
    <w:rsid w:val="00C47813"/>
    <w:pPr>
      <w:spacing w:line="240" w:lineRule="auto"/>
    </w:pPr>
    <w:rPr>
      <w:sz w:val="24"/>
      <w:szCs w:val="24"/>
    </w:rPr>
  </w:style>
  <w:style w:type="character" w:customStyle="1" w:styleId="CommentTextChar">
    <w:name w:val="Comment Text Char"/>
    <w:basedOn w:val="DefaultParagraphFont"/>
    <w:link w:val="CommentText"/>
    <w:uiPriority w:val="99"/>
    <w:rsid w:val="00C47813"/>
    <w:rPr>
      <w:sz w:val="24"/>
      <w:szCs w:val="24"/>
    </w:rPr>
  </w:style>
  <w:style w:type="character" w:styleId="CommentReference">
    <w:name w:val="annotation reference"/>
    <w:basedOn w:val="DefaultParagraphFont"/>
    <w:uiPriority w:val="99"/>
    <w:semiHidden/>
    <w:unhideWhenUsed/>
    <w:rsid w:val="00C47813"/>
    <w:rPr>
      <w:sz w:val="18"/>
      <w:szCs w:val="18"/>
    </w:rPr>
  </w:style>
  <w:style w:type="paragraph" w:styleId="BalloonText">
    <w:name w:val="Balloon Text"/>
    <w:basedOn w:val="Normal"/>
    <w:link w:val="BalloonTextChar"/>
    <w:uiPriority w:val="99"/>
    <w:semiHidden/>
    <w:unhideWhenUsed/>
    <w:rsid w:val="00C478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781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amleh@aucegypt.edu" TargetMode="Externa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372</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Razan Masad</dc:creator>
  <cp:lastModifiedBy>ddd</cp:lastModifiedBy>
  <cp:revision>2</cp:revision>
  <dcterms:created xsi:type="dcterms:W3CDTF">2017-03-11T18:25:00Z</dcterms:created>
  <dcterms:modified xsi:type="dcterms:W3CDTF">2017-03-11T18:25:00Z</dcterms:modified>
</cp:coreProperties>
</file>